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7BD3" w14:textId="65091DEA" w:rsidR="003800B3" w:rsidRPr="007566C4" w:rsidRDefault="007566C4" w:rsidP="007566C4">
      <w:pPr>
        <w:pStyle w:val="Title"/>
        <w:rPr>
          <w:rFonts w:ascii="Arial" w:hAnsi="Arial" w:cs="Arial"/>
          <w:b/>
          <w:sz w:val="28"/>
        </w:rPr>
      </w:pPr>
      <w:r w:rsidRPr="007566C4">
        <w:rPr>
          <w:rFonts w:ascii="Arial" w:hAnsi="Arial" w:cs="Arial"/>
          <w:b/>
          <w:sz w:val="28"/>
        </w:rPr>
        <w:t>Data note – data verification</w:t>
      </w:r>
    </w:p>
    <w:p w14:paraId="4F8F1595" w14:textId="77777777" w:rsidR="003800B3" w:rsidRDefault="003800B3" w:rsidP="003800B3">
      <w:pPr>
        <w:pStyle w:val="BodyText"/>
        <w:rPr>
          <w:b/>
        </w:rPr>
      </w:pPr>
    </w:p>
    <w:p w14:paraId="120B8FE3" w14:textId="609BB787" w:rsidR="00127A23" w:rsidRDefault="003800B3" w:rsidP="00127A23">
      <w:pPr>
        <w:ind w:left="118"/>
        <w:rPr>
          <w:b/>
          <w:sz w:val="24"/>
        </w:rPr>
      </w:pPr>
      <w:r>
        <w:rPr>
          <w:b/>
          <w:sz w:val="24"/>
        </w:rPr>
        <w:t>Local Government Settlement Da</w:t>
      </w:r>
      <w:r w:rsidR="000F4817">
        <w:rPr>
          <w:b/>
          <w:sz w:val="24"/>
        </w:rPr>
        <w:t xml:space="preserve">ta Verification - </w:t>
      </w:r>
      <w:r w:rsidR="00AE485D">
        <w:rPr>
          <w:b/>
          <w:sz w:val="24"/>
        </w:rPr>
        <w:t>October</w:t>
      </w:r>
      <w:r w:rsidR="000F4817">
        <w:rPr>
          <w:b/>
          <w:sz w:val="24"/>
        </w:rPr>
        <w:t xml:space="preserve"> 202</w:t>
      </w:r>
      <w:r w:rsidR="00127A23">
        <w:rPr>
          <w:b/>
          <w:sz w:val="24"/>
        </w:rPr>
        <w:t>3</w:t>
      </w:r>
    </w:p>
    <w:p w14:paraId="76A7B8EF" w14:textId="77777777" w:rsidR="003800B3" w:rsidRDefault="003800B3" w:rsidP="003800B3">
      <w:pPr>
        <w:pStyle w:val="BodyText"/>
        <w:rPr>
          <w:b/>
        </w:rPr>
      </w:pPr>
    </w:p>
    <w:p w14:paraId="1B6E909A" w14:textId="695F2A71" w:rsidR="003800B3" w:rsidRDefault="003800B3" w:rsidP="003800B3">
      <w:pPr>
        <w:pStyle w:val="BodyText"/>
        <w:ind w:left="118" w:right="327"/>
      </w:pPr>
      <w:r>
        <w:t>This data note has been produced in conjunction with the data t</w:t>
      </w:r>
      <w:r w:rsidR="003C3989">
        <w:t xml:space="preserve">o be verified as part of the </w:t>
      </w:r>
      <w:r w:rsidR="00A32359">
        <w:t>20</w:t>
      </w:r>
      <w:r w:rsidR="00F70BEC">
        <w:t>2</w:t>
      </w:r>
      <w:r w:rsidR="00127A23">
        <w:t>4</w:t>
      </w:r>
      <w:r w:rsidR="00F70BEC">
        <w:t>-2</w:t>
      </w:r>
      <w:r w:rsidR="00127A23">
        <w:t>5</w:t>
      </w:r>
      <w:r>
        <w:t xml:space="preserve"> RSG settlement process</w:t>
      </w:r>
      <w:r w:rsidR="000F4817">
        <w:t xml:space="preserve">.  </w:t>
      </w:r>
      <w:r>
        <w:t xml:space="preserve">The verification process will be carried out in </w:t>
      </w:r>
      <w:r w:rsidR="002206B7">
        <w:t xml:space="preserve">one </w:t>
      </w:r>
      <w:r>
        <w:t>round</w:t>
      </w:r>
      <w:r w:rsidR="002206B7">
        <w:t>, similar to last year</w:t>
      </w:r>
      <w:r w:rsidR="000F4817">
        <w:t xml:space="preserve">.  </w:t>
      </w:r>
      <w:r>
        <w:t>This document details the data sets that are part of the data verification.</w:t>
      </w:r>
    </w:p>
    <w:p w14:paraId="7BAE2D72" w14:textId="77777777" w:rsidR="003800B3" w:rsidRDefault="003800B3" w:rsidP="003800B3">
      <w:pPr>
        <w:pStyle w:val="BodyText"/>
      </w:pPr>
    </w:p>
    <w:p w14:paraId="641275E2" w14:textId="64E1CF3D" w:rsidR="003800B3" w:rsidRDefault="003800B3" w:rsidP="003800B3">
      <w:pPr>
        <w:pStyle w:val="BodyText"/>
        <w:ind w:left="118" w:right="260"/>
      </w:pPr>
      <w:r>
        <w:t>The purpose of the data verification exercise is not to re-visit published estimates where the changes are minor</w:t>
      </w:r>
      <w:r w:rsidR="000F4817">
        <w:t xml:space="preserve">.  </w:t>
      </w:r>
      <w:r>
        <w:t>This process is to ensure that any significant errors or revisions to the non-financial data are identified prior to the publication of the Local Government Settlement.</w:t>
      </w:r>
    </w:p>
    <w:p w14:paraId="33414887" w14:textId="77777777" w:rsidR="003800B3" w:rsidRDefault="003800B3" w:rsidP="003800B3">
      <w:pPr>
        <w:pStyle w:val="BodyText"/>
        <w:spacing w:before="1"/>
      </w:pPr>
    </w:p>
    <w:p w14:paraId="6A882C52" w14:textId="2A4D06B4" w:rsidR="003800B3" w:rsidRDefault="003800B3" w:rsidP="003800B3">
      <w:pPr>
        <w:pStyle w:val="BodyText"/>
        <w:ind w:left="118" w:right="87"/>
      </w:pPr>
      <w:r>
        <w:t>Changes to published data will only be considered if the data repository agrees with the change to the data</w:t>
      </w:r>
      <w:r w:rsidR="000F4817">
        <w:t xml:space="preserve">.  </w:t>
      </w:r>
      <w:r>
        <w:t>Any changes to published data should be re-submitted via the process in which it was originally submitted</w:t>
      </w:r>
      <w:r w:rsidR="000F4817">
        <w:t xml:space="preserve">.  </w:t>
      </w:r>
      <w:r>
        <w:t>Once you have received confirmation from the data repository to update a data item, please then indicate the updated figure on your query form</w:t>
      </w:r>
      <w:r w:rsidR="000F4817">
        <w:t xml:space="preserve">.  </w:t>
      </w:r>
      <w:r>
        <w:t xml:space="preserve">The list of data repositories and associated contacts for enquiries are listed in </w:t>
      </w:r>
      <w:hyperlink w:anchor="_Annex_A" w:history="1">
        <w:r w:rsidRPr="00E32044">
          <w:rPr>
            <w:b/>
            <w:bCs/>
            <w:color w:val="000000" w:themeColor="text1"/>
            <w:u w:val="single"/>
          </w:rPr>
          <w:t>Annex A</w:t>
        </w:r>
      </w:hyperlink>
      <w:r w:rsidRPr="00E32044">
        <w:rPr>
          <w:b/>
          <w:bCs/>
          <w:color w:val="000000" w:themeColor="text1"/>
          <w:u w:val="single"/>
        </w:rPr>
        <w:t>.</w:t>
      </w:r>
    </w:p>
    <w:p w14:paraId="0519385C" w14:textId="77777777" w:rsidR="00203175" w:rsidRDefault="00203175" w:rsidP="003800B3">
      <w:pPr>
        <w:pStyle w:val="BodyText"/>
        <w:ind w:left="118" w:right="87"/>
      </w:pPr>
    </w:p>
    <w:p w14:paraId="3393CA7C" w14:textId="2CE123A7" w:rsidR="00203175" w:rsidRPr="00203175" w:rsidRDefault="00203175" w:rsidP="00203175">
      <w:pPr>
        <w:pStyle w:val="BodyText"/>
        <w:ind w:left="118" w:right="260"/>
      </w:pPr>
      <w:r w:rsidRPr="00203175">
        <w:t>Step</w:t>
      </w:r>
      <w:r w:rsidR="000F4817">
        <w:t>-</w:t>
      </w:r>
      <w:r w:rsidRPr="00203175">
        <w:t>by</w:t>
      </w:r>
      <w:r w:rsidR="000F4817">
        <w:t>-</w:t>
      </w:r>
      <w:r w:rsidRPr="00203175">
        <w:t xml:space="preserve">step guidance is provided in </w:t>
      </w:r>
      <w:r w:rsidR="005A7913" w:rsidRPr="00E32044">
        <w:rPr>
          <w:b/>
          <w:bCs/>
          <w:color w:val="000000" w:themeColor="text1"/>
          <w:u w:val="single"/>
        </w:rPr>
        <w:fldChar w:fldCharType="begin"/>
      </w:r>
      <w:r w:rsidR="005A7913" w:rsidRPr="00E32044">
        <w:rPr>
          <w:b/>
          <w:bCs/>
          <w:color w:val="000000" w:themeColor="text1"/>
          <w:u w:val="single"/>
        </w:rPr>
        <w:instrText xml:space="preserve"> REF _Ref116573370 \h  \* MERGEFORMAT </w:instrText>
      </w:r>
      <w:r w:rsidR="005A7913" w:rsidRPr="00E32044">
        <w:rPr>
          <w:b/>
          <w:bCs/>
          <w:color w:val="000000" w:themeColor="text1"/>
          <w:u w:val="single"/>
        </w:rPr>
      </w:r>
      <w:r w:rsidR="005A7913" w:rsidRPr="00E32044">
        <w:rPr>
          <w:b/>
          <w:bCs/>
          <w:color w:val="000000" w:themeColor="text1"/>
          <w:u w:val="single"/>
        </w:rPr>
        <w:fldChar w:fldCharType="separate"/>
      </w:r>
      <w:r w:rsidR="005A7913" w:rsidRPr="00E32044">
        <w:rPr>
          <w:b/>
          <w:bCs/>
          <w:color w:val="000000" w:themeColor="text1"/>
          <w:u w:val="single"/>
        </w:rPr>
        <w:t>Annex B</w:t>
      </w:r>
      <w:r w:rsidR="005A7913" w:rsidRPr="00E32044">
        <w:rPr>
          <w:b/>
          <w:bCs/>
          <w:color w:val="000000" w:themeColor="text1"/>
          <w:u w:val="single"/>
        </w:rPr>
        <w:fldChar w:fldCharType="end"/>
      </w:r>
      <w:r w:rsidRPr="00203175">
        <w:t xml:space="preserve"> on how to download the benefits data.</w:t>
      </w:r>
    </w:p>
    <w:p w14:paraId="47CBBF34" w14:textId="77777777" w:rsidR="00203175" w:rsidRPr="00203175" w:rsidRDefault="00203175" w:rsidP="00203175">
      <w:pPr>
        <w:pStyle w:val="BodyText"/>
        <w:spacing w:before="1"/>
      </w:pPr>
    </w:p>
    <w:p w14:paraId="6E7304A8" w14:textId="77777777" w:rsidR="003800B3" w:rsidRDefault="003800B3" w:rsidP="003800B3">
      <w:pPr>
        <w:pStyle w:val="Heading1"/>
        <w:spacing w:before="92"/>
      </w:pPr>
      <w:bookmarkStart w:id="0" w:name="_Ref116573405"/>
      <w:r>
        <w:t>Planning applications</w:t>
      </w:r>
      <w:bookmarkEnd w:id="0"/>
    </w:p>
    <w:p w14:paraId="4D8687E8" w14:textId="77777777" w:rsidR="003800B3" w:rsidRDefault="003800B3" w:rsidP="003800B3">
      <w:pPr>
        <w:pStyle w:val="BodyText"/>
        <w:rPr>
          <w:b/>
        </w:rPr>
      </w:pPr>
    </w:p>
    <w:p w14:paraId="3D18B842" w14:textId="77777777" w:rsidR="003800B3" w:rsidRPr="00504C29" w:rsidRDefault="003800B3" w:rsidP="003800B3">
      <w:pPr>
        <w:pStyle w:val="Heading2"/>
        <w:keepNext w:val="0"/>
        <w:keepLines w:val="0"/>
        <w:numPr>
          <w:ilvl w:val="0"/>
          <w:numId w:val="1"/>
        </w:numPr>
        <w:tabs>
          <w:tab w:val="left" w:pos="478"/>
          <w:tab w:val="left" w:pos="479"/>
        </w:tabs>
        <w:spacing w:before="0"/>
        <w:ind w:firstLine="0"/>
        <w:rPr>
          <w:rFonts w:ascii="Symbol" w:hAnsi="Symbol"/>
          <w:b/>
          <w:bCs/>
          <w:color w:val="44546A" w:themeColor="text2"/>
          <w:sz w:val="20"/>
        </w:rPr>
      </w:pPr>
      <w:r w:rsidRPr="00504C29">
        <w:rPr>
          <w:b/>
          <w:bCs/>
          <w:color w:val="44546A" w:themeColor="text2"/>
        </w:rPr>
        <w:t>Number of planning applications</w:t>
      </w:r>
      <w:r w:rsidRPr="00504C29">
        <w:rPr>
          <w:b/>
          <w:bCs/>
          <w:color w:val="44546A" w:themeColor="text2"/>
          <w:spacing w:val="-4"/>
        </w:rPr>
        <w:t xml:space="preserve"> </w:t>
      </w:r>
      <w:r w:rsidRPr="00504C29">
        <w:rPr>
          <w:b/>
          <w:bCs/>
          <w:color w:val="44546A" w:themeColor="text2"/>
        </w:rPr>
        <w:t>received.</w:t>
      </w:r>
    </w:p>
    <w:p w14:paraId="786181CE" w14:textId="77777777" w:rsidR="003800B3" w:rsidRDefault="003800B3" w:rsidP="003800B3">
      <w:pPr>
        <w:pStyle w:val="BodyText"/>
        <w:spacing w:before="1"/>
        <w:rPr>
          <w:b/>
          <w:i/>
        </w:rPr>
      </w:pPr>
    </w:p>
    <w:p w14:paraId="4FBDC721" w14:textId="2998C8A8" w:rsidR="003800B3" w:rsidRDefault="003800B3" w:rsidP="003800B3">
      <w:pPr>
        <w:pStyle w:val="BodyText"/>
        <w:ind w:left="118" w:right="194"/>
      </w:pPr>
      <w:r>
        <w:t xml:space="preserve">The number of planning applications received in each of the quarters from </w:t>
      </w:r>
      <w:r w:rsidR="00AE485D">
        <w:rPr>
          <w:b/>
        </w:rPr>
        <w:t xml:space="preserve">April to June </w:t>
      </w:r>
      <w:r w:rsidR="00F70BEC">
        <w:rPr>
          <w:b/>
        </w:rPr>
        <w:t>202</w:t>
      </w:r>
      <w:r w:rsidR="006758A6">
        <w:rPr>
          <w:b/>
        </w:rPr>
        <w:t>2</w:t>
      </w:r>
      <w:r>
        <w:rPr>
          <w:b/>
        </w:rPr>
        <w:t xml:space="preserve"> </w:t>
      </w:r>
      <w:r>
        <w:t xml:space="preserve">to </w:t>
      </w:r>
      <w:r w:rsidR="00AE485D">
        <w:rPr>
          <w:b/>
        </w:rPr>
        <w:t xml:space="preserve">January to March </w:t>
      </w:r>
      <w:r w:rsidR="00F70BEC">
        <w:rPr>
          <w:b/>
        </w:rPr>
        <w:t>202</w:t>
      </w:r>
      <w:r w:rsidR="006758A6">
        <w:rPr>
          <w:b/>
        </w:rPr>
        <w:t>3</w:t>
      </w:r>
      <w:r w:rsidR="000F4817">
        <w:t xml:space="preserve">.  </w:t>
      </w:r>
      <w:r>
        <w:t>These numbers are those reported to the Welsh Government by local authorities as part of the Development Management Quarterly Survey.</w:t>
      </w:r>
    </w:p>
    <w:p w14:paraId="3E8D0A3D" w14:textId="77777777" w:rsidR="003800B3" w:rsidRDefault="003800B3" w:rsidP="003800B3">
      <w:pPr>
        <w:pStyle w:val="BodyText"/>
      </w:pPr>
    </w:p>
    <w:p w14:paraId="048FE2B4" w14:textId="77777777" w:rsidR="00AE485D" w:rsidRDefault="003800B3" w:rsidP="00AE485D">
      <w:pPr>
        <w:pStyle w:val="BodyText"/>
        <w:ind w:right="313"/>
      </w:pPr>
      <w:r>
        <w:t>Click on the link below to retrieve data on planning applications</w:t>
      </w:r>
      <w:r w:rsidR="000F4817">
        <w:t xml:space="preserve">. </w:t>
      </w:r>
    </w:p>
    <w:p w14:paraId="79F3711F" w14:textId="6556916C" w:rsidR="00AE485D" w:rsidRDefault="003800B3" w:rsidP="00AE485D">
      <w:pPr>
        <w:pStyle w:val="BodyText"/>
        <w:ind w:right="313"/>
      </w:pPr>
      <w:r>
        <w:t>Cl</w:t>
      </w:r>
      <w:r w:rsidR="00A32359">
        <w:t xml:space="preserve">ick on the January to March </w:t>
      </w:r>
      <w:r w:rsidR="00F70BEC">
        <w:t>202</w:t>
      </w:r>
      <w:r w:rsidR="006758A6">
        <w:t>3</w:t>
      </w:r>
      <w:r>
        <w:t xml:space="preserve"> quarter of the Development Management Quarterly Survey and open the excel document</w:t>
      </w:r>
      <w:r w:rsidR="000F4817">
        <w:t xml:space="preserve">.  </w:t>
      </w:r>
    </w:p>
    <w:p w14:paraId="43CEAA6A" w14:textId="5117A8AF" w:rsidR="003800B3" w:rsidRDefault="003800B3" w:rsidP="00AE485D">
      <w:pPr>
        <w:pStyle w:val="BodyText"/>
        <w:ind w:right="313"/>
      </w:pPr>
      <w:r>
        <w:t>The relevant data ca</w:t>
      </w:r>
      <w:r w:rsidR="00AE485D">
        <w:t>n be found in table 4, columns D-G</w:t>
      </w:r>
      <w:r>
        <w:t xml:space="preserve"> – Received within quarter.</w:t>
      </w:r>
    </w:p>
    <w:p w14:paraId="6A6C7FB1" w14:textId="77777777" w:rsidR="003800B3" w:rsidRDefault="003800B3" w:rsidP="003800B3">
      <w:pPr>
        <w:pStyle w:val="BodyText"/>
      </w:pPr>
    </w:p>
    <w:p w14:paraId="39B069C3" w14:textId="6BCD5AED" w:rsidR="00E84B6F" w:rsidRDefault="00124568" w:rsidP="00B22B59">
      <w:pPr>
        <w:pStyle w:val="BodyText"/>
        <w:ind w:left="118"/>
      </w:pPr>
      <w:hyperlink r:id="rId9" w:history="1">
        <w:r w:rsidR="00AE485D" w:rsidRPr="0041419A">
          <w:rPr>
            <w:rStyle w:val="Hyperlink"/>
          </w:rPr>
          <w:t>https://gov.wales/development-management-quarterly-surveys</w:t>
        </w:r>
      </w:hyperlink>
      <w:r w:rsidR="00AE485D">
        <w:t xml:space="preserve"> </w:t>
      </w:r>
    </w:p>
    <w:p w14:paraId="40262657" w14:textId="77777777" w:rsidR="00AE485D" w:rsidRDefault="00AE485D" w:rsidP="00B22B59">
      <w:pPr>
        <w:pStyle w:val="BodyText"/>
        <w:ind w:left="118"/>
        <w:rPr>
          <w:highlight w:val="yellow"/>
        </w:rPr>
      </w:pPr>
    </w:p>
    <w:p w14:paraId="472CDA83" w14:textId="77777777" w:rsidR="00B22B59" w:rsidRPr="00A41905" w:rsidRDefault="00B22B59" w:rsidP="00B22B59">
      <w:pPr>
        <w:pStyle w:val="Heading1"/>
      </w:pPr>
      <w:r w:rsidRPr="00A41905">
        <w:t>Land Areas</w:t>
      </w:r>
    </w:p>
    <w:p w14:paraId="1EC7B84C" w14:textId="77777777" w:rsidR="00B22B59" w:rsidRPr="00A41905" w:rsidRDefault="00B22B59" w:rsidP="00B22B59">
      <w:pPr>
        <w:pStyle w:val="BodyText"/>
        <w:rPr>
          <w:b/>
        </w:rPr>
      </w:pPr>
    </w:p>
    <w:p w14:paraId="6EF5F3E1" w14:textId="77777777" w:rsidR="00B22B59" w:rsidRPr="00504C29" w:rsidRDefault="00B22B59" w:rsidP="00B22B59">
      <w:pPr>
        <w:pStyle w:val="Heading2"/>
        <w:keepNext w:val="0"/>
        <w:keepLines w:val="0"/>
        <w:numPr>
          <w:ilvl w:val="0"/>
          <w:numId w:val="1"/>
        </w:numPr>
        <w:tabs>
          <w:tab w:val="left" w:pos="545"/>
          <w:tab w:val="left" w:pos="547"/>
        </w:tabs>
        <w:spacing w:before="0"/>
        <w:ind w:left="546" w:hanging="428"/>
        <w:rPr>
          <w:rFonts w:ascii="Symbol" w:hAnsi="Symbol"/>
          <w:b/>
          <w:bCs/>
          <w:color w:val="44546A" w:themeColor="text2"/>
          <w:sz w:val="20"/>
        </w:rPr>
      </w:pPr>
      <w:r w:rsidRPr="00504C29">
        <w:rPr>
          <w:b/>
          <w:bCs/>
          <w:color w:val="44546A" w:themeColor="text2"/>
        </w:rPr>
        <w:t>Land Area in</w:t>
      </w:r>
      <w:r w:rsidRPr="00504C29">
        <w:rPr>
          <w:b/>
          <w:bCs/>
          <w:color w:val="44546A" w:themeColor="text2"/>
          <w:spacing w:val="-4"/>
        </w:rPr>
        <w:t xml:space="preserve"> </w:t>
      </w:r>
      <w:r w:rsidRPr="00504C29">
        <w:rPr>
          <w:b/>
          <w:bCs/>
          <w:color w:val="44546A" w:themeColor="text2"/>
        </w:rPr>
        <w:t>Hectares</w:t>
      </w:r>
    </w:p>
    <w:p w14:paraId="6C99E863" w14:textId="77777777" w:rsidR="00B22B59" w:rsidRPr="00A41905" w:rsidRDefault="00B22B59" w:rsidP="00B22B59">
      <w:pPr>
        <w:pStyle w:val="BodyText"/>
        <w:rPr>
          <w:b/>
          <w:i/>
        </w:rPr>
      </w:pPr>
    </w:p>
    <w:p w14:paraId="6774FC4C" w14:textId="2F147BA2" w:rsidR="00B22B59" w:rsidRPr="00A41905" w:rsidRDefault="00B22B59" w:rsidP="00B22B59">
      <w:pPr>
        <w:pStyle w:val="BodyText"/>
        <w:ind w:left="118" w:right="348"/>
        <w:jc w:val="both"/>
      </w:pPr>
      <w:r w:rsidRPr="00A41905">
        <w:t xml:space="preserve">The area of land above the high water mark in each authority in hectares (as at </w:t>
      </w:r>
      <w:r w:rsidRPr="00A41905">
        <w:rPr>
          <w:b/>
        </w:rPr>
        <w:t xml:space="preserve">1 </w:t>
      </w:r>
      <w:r w:rsidR="003C3989" w:rsidRPr="00A41905">
        <w:rPr>
          <w:b/>
        </w:rPr>
        <w:t>May</w:t>
      </w:r>
      <w:r w:rsidR="00A41905" w:rsidRPr="00A41905">
        <w:rPr>
          <w:b/>
        </w:rPr>
        <w:t xml:space="preserve"> </w:t>
      </w:r>
      <w:r w:rsidR="00F70BEC">
        <w:rPr>
          <w:b/>
        </w:rPr>
        <w:t>202</w:t>
      </w:r>
      <w:r w:rsidR="006758A6">
        <w:rPr>
          <w:b/>
        </w:rPr>
        <w:t>3</w:t>
      </w:r>
      <w:r w:rsidRPr="00A41905">
        <w:rPr>
          <w:b/>
        </w:rPr>
        <w:t>)</w:t>
      </w:r>
      <w:r w:rsidR="000F4817">
        <w:t xml:space="preserve">.  </w:t>
      </w:r>
      <w:r w:rsidRPr="00A41905">
        <w:t>The data are calculated by the Welsh Government using the Ordnance</w:t>
      </w:r>
      <w:r w:rsidRPr="00A41905">
        <w:rPr>
          <w:spacing w:val="-44"/>
        </w:rPr>
        <w:t xml:space="preserve"> </w:t>
      </w:r>
      <w:r w:rsidRPr="00A41905">
        <w:t>Survey’s (O.S) Boundary</w:t>
      </w:r>
      <w:r w:rsidRPr="00A41905">
        <w:rPr>
          <w:spacing w:val="-6"/>
        </w:rPr>
        <w:t xml:space="preserve"> </w:t>
      </w:r>
      <w:r w:rsidRPr="00A41905">
        <w:t>Line.</w:t>
      </w:r>
    </w:p>
    <w:p w14:paraId="0DFFE3D4" w14:textId="77777777" w:rsidR="00B22B59" w:rsidRPr="00A41905" w:rsidRDefault="00B22B59" w:rsidP="00B22B59">
      <w:pPr>
        <w:pStyle w:val="BodyText"/>
      </w:pPr>
    </w:p>
    <w:p w14:paraId="2CD3E4EE" w14:textId="655D22D3" w:rsidR="00B22B59" w:rsidRDefault="00B22B59" w:rsidP="00B22B59">
      <w:pPr>
        <w:pStyle w:val="BodyText"/>
        <w:spacing w:before="1"/>
        <w:ind w:left="118" w:right="340"/>
      </w:pPr>
      <w:r w:rsidRPr="00A41905">
        <w:t>O.S</w:t>
      </w:r>
      <w:r w:rsidR="000F4817">
        <w:t xml:space="preserve">. </w:t>
      </w:r>
      <w:r w:rsidRPr="00A41905">
        <w:t>calculate the low water mark area of each Local Authority, and provide a figure for the inter-tidal 'Non-inland' area</w:t>
      </w:r>
      <w:r w:rsidR="000F4817">
        <w:t xml:space="preserve">.  </w:t>
      </w:r>
      <w:r w:rsidRPr="00A41905">
        <w:t xml:space="preserve">The cartographic team then subtracts the 'Non-inland' area figure from the low water mark area, to give the </w:t>
      </w:r>
      <w:r w:rsidRPr="00A41905">
        <w:rPr>
          <w:b/>
        </w:rPr>
        <w:t>Total Land Area for each Local Authority in hectares</w:t>
      </w:r>
      <w:r w:rsidRPr="00A41905">
        <w:t>.</w:t>
      </w:r>
    </w:p>
    <w:p w14:paraId="580238AE" w14:textId="77777777" w:rsidR="003822CE" w:rsidRDefault="003822CE" w:rsidP="00B22B59">
      <w:pPr>
        <w:pStyle w:val="BodyText"/>
        <w:spacing w:before="1"/>
        <w:ind w:left="118" w:right="340"/>
      </w:pPr>
    </w:p>
    <w:p w14:paraId="2582F201" w14:textId="77777777" w:rsidR="00E62D9A" w:rsidRPr="00BF418A" w:rsidRDefault="00E62D9A" w:rsidP="00E62D9A">
      <w:pPr>
        <w:pStyle w:val="BodyText"/>
        <w:ind w:left="838" w:right="340"/>
        <w:rPr>
          <w:highlight w:val="yellow"/>
        </w:rPr>
      </w:pPr>
    </w:p>
    <w:p w14:paraId="108D450D" w14:textId="77777777" w:rsidR="002068E2" w:rsidRPr="00DE690E" w:rsidRDefault="002068E2" w:rsidP="002068E2">
      <w:pPr>
        <w:pStyle w:val="Heading1"/>
        <w:spacing w:before="92"/>
      </w:pPr>
      <w:r w:rsidRPr="00DE690E">
        <w:t>Environment Agency and Internal Drainage Board levies</w:t>
      </w:r>
    </w:p>
    <w:p w14:paraId="169EBA46" w14:textId="77777777" w:rsidR="002068E2" w:rsidRPr="00DE690E" w:rsidRDefault="002068E2" w:rsidP="002068E2">
      <w:pPr>
        <w:pStyle w:val="BodyText"/>
        <w:rPr>
          <w:b/>
        </w:rPr>
      </w:pPr>
    </w:p>
    <w:p w14:paraId="625CCBE5" w14:textId="77777777" w:rsidR="002068E2" w:rsidRPr="00504C29" w:rsidRDefault="002068E2" w:rsidP="002068E2">
      <w:pPr>
        <w:pStyle w:val="Heading2"/>
        <w:keepNext w:val="0"/>
        <w:keepLines w:val="0"/>
        <w:numPr>
          <w:ilvl w:val="0"/>
          <w:numId w:val="1"/>
        </w:numPr>
        <w:tabs>
          <w:tab w:val="left" w:pos="478"/>
          <w:tab w:val="left" w:pos="479"/>
        </w:tabs>
        <w:spacing w:before="1"/>
        <w:ind w:left="478"/>
        <w:rPr>
          <w:rFonts w:ascii="Symbol" w:hAnsi="Symbol"/>
          <w:b/>
          <w:bCs/>
          <w:color w:val="44546A" w:themeColor="text2"/>
          <w:sz w:val="20"/>
        </w:rPr>
      </w:pPr>
      <w:r w:rsidRPr="00504C29">
        <w:rPr>
          <w:b/>
          <w:bCs/>
          <w:color w:val="44546A" w:themeColor="text2"/>
        </w:rPr>
        <w:t>Flood defence payments to Internal Drainage Boards (IDBs)</w:t>
      </w:r>
    </w:p>
    <w:p w14:paraId="1D070070" w14:textId="77777777" w:rsidR="002068E2" w:rsidRPr="00DE690E" w:rsidRDefault="002068E2" w:rsidP="002068E2">
      <w:pPr>
        <w:pStyle w:val="BodyText"/>
        <w:spacing w:before="11"/>
        <w:rPr>
          <w:b/>
          <w:i/>
          <w:sz w:val="23"/>
        </w:rPr>
      </w:pPr>
    </w:p>
    <w:p w14:paraId="6CDFBA62" w14:textId="55084DD1" w:rsidR="002068E2" w:rsidRPr="00DE690E" w:rsidRDefault="002068E2" w:rsidP="00D027D6">
      <w:pPr>
        <w:pStyle w:val="BodyText"/>
        <w:ind w:left="118" w:right="606"/>
      </w:pPr>
      <w:r w:rsidRPr="00DE690E">
        <w:t xml:space="preserve">Special levies payable in </w:t>
      </w:r>
      <w:r w:rsidR="00DE690E" w:rsidRPr="00DE690E">
        <w:t>20</w:t>
      </w:r>
      <w:r w:rsidR="00F70BEC">
        <w:t>2</w:t>
      </w:r>
      <w:r w:rsidR="00AD31CA">
        <w:t>3</w:t>
      </w:r>
      <w:r w:rsidR="00F70BEC">
        <w:t>-2</w:t>
      </w:r>
      <w:r w:rsidR="00AD31CA">
        <w:t>4</w:t>
      </w:r>
      <w:r w:rsidR="00D027D6">
        <w:t xml:space="preserve"> to the IDBs are</w:t>
      </w:r>
      <w:r w:rsidRPr="00DE690E">
        <w:rPr>
          <w:b/>
        </w:rPr>
        <w:t xml:space="preserve"> </w:t>
      </w:r>
      <w:r w:rsidRPr="00DE690E">
        <w:t>p</w:t>
      </w:r>
      <w:r w:rsidR="00D027D6">
        <w:t xml:space="preserve">rovided to the Welsh Government by Natural Resources Wales. </w:t>
      </w:r>
      <w:r w:rsidRPr="00DE690E">
        <w:t>This data is not available on the internet</w:t>
      </w:r>
      <w:r w:rsidR="000F4817">
        <w:t xml:space="preserve">.  </w:t>
      </w:r>
      <w:r w:rsidRPr="00DE690E">
        <w:t xml:space="preserve">For contact details please see </w:t>
      </w:r>
      <w:hyperlink w:anchor="_Annex_A" w:history="1">
        <w:r w:rsidRPr="00741B88">
          <w:rPr>
            <w:rStyle w:val="Hyperlink"/>
          </w:rPr>
          <w:t>Annex A</w:t>
        </w:r>
      </w:hyperlink>
      <w:r w:rsidRPr="00DE690E">
        <w:t>.</w:t>
      </w:r>
    </w:p>
    <w:p w14:paraId="5DFE228F" w14:textId="77777777" w:rsidR="002068E2" w:rsidRPr="00BF418A" w:rsidRDefault="002068E2" w:rsidP="002068E2">
      <w:pPr>
        <w:pStyle w:val="Heading1"/>
        <w:spacing w:before="70"/>
        <w:rPr>
          <w:highlight w:val="yellow"/>
        </w:rPr>
      </w:pPr>
    </w:p>
    <w:p w14:paraId="5658B1F7" w14:textId="0AAA3DCC" w:rsidR="00B04B46" w:rsidRDefault="00B04B46" w:rsidP="00D027D6">
      <w:pPr>
        <w:pStyle w:val="Heading1"/>
        <w:ind w:left="0"/>
      </w:pPr>
    </w:p>
    <w:p w14:paraId="0ECC068A" w14:textId="1838CE8D" w:rsidR="00AA2F19" w:rsidRPr="00DE690E" w:rsidRDefault="00AA2F19" w:rsidP="00FE262A">
      <w:pPr>
        <w:pStyle w:val="Heading1"/>
      </w:pPr>
      <w:r w:rsidRPr="00DE690E">
        <w:t>Food &amp; Trading Premises</w:t>
      </w:r>
    </w:p>
    <w:p w14:paraId="44238DBC" w14:textId="77777777" w:rsidR="00AA2F19" w:rsidRPr="00DE690E" w:rsidRDefault="00AA2F19" w:rsidP="00FE262A">
      <w:pPr>
        <w:pStyle w:val="Heading2"/>
        <w:keepNext w:val="0"/>
        <w:keepLines w:val="0"/>
        <w:tabs>
          <w:tab w:val="left" w:pos="478"/>
          <w:tab w:val="left" w:pos="479"/>
        </w:tabs>
        <w:spacing w:before="0"/>
        <w:ind w:left="478"/>
      </w:pPr>
    </w:p>
    <w:p w14:paraId="23014894" w14:textId="77777777" w:rsidR="00AA2F19" w:rsidRPr="00504C29" w:rsidRDefault="00AA2F19" w:rsidP="00FE262A">
      <w:pPr>
        <w:pStyle w:val="Heading2"/>
        <w:keepNext w:val="0"/>
        <w:keepLines w:val="0"/>
        <w:numPr>
          <w:ilvl w:val="0"/>
          <w:numId w:val="1"/>
        </w:numPr>
        <w:tabs>
          <w:tab w:val="left" w:pos="478"/>
          <w:tab w:val="left" w:pos="479"/>
        </w:tabs>
        <w:spacing w:before="0"/>
        <w:ind w:left="478"/>
        <w:rPr>
          <w:b/>
          <w:bCs/>
          <w:color w:val="44546A" w:themeColor="text2"/>
        </w:rPr>
      </w:pPr>
      <w:r w:rsidRPr="00504C29">
        <w:rPr>
          <w:b/>
          <w:bCs/>
          <w:color w:val="44546A" w:themeColor="text2"/>
        </w:rPr>
        <w:t>Trading Premises</w:t>
      </w:r>
    </w:p>
    <w:p w14:paraId="034A2318" w14:textId="77777777" w:rsidR="00AA2F19" w:rsidRPr="00DE690E" w:rsidRDefault="00AA2F19" w:rsidP="00AA2F19">
      <w:pPr>
        <w:pStyle w:val="ListParagraph"/>
        <w:rPr>
          <w:b/>
          <w:i/>
          <w:snapToGrid w:val="0"/>
          <w:szCs w:val="24"/>
        </w:rPr>
      </w:pPr>
    </w:p>
    <w:p w14:paraId="4E311494" w14:textId="3A9E3241" w:rsidR="00AA2F19" w:rsidRPr="00DE690E" w:rsidRDefault="00AA2F19" w:rsidP="00AA2F19">
      <w:pPr>
        <w:rPr>
          <w:snapToGrid w:val="0"/>
          <w:szCs w:val="24"/>
        </w:rPr>
      </w:pPr>
      <w:r w:rsidRPr="00DE690E">
        <w:rPr>
          <w:snapToGrid w:val="0"/>
          <w:szCs w:val="24"/>
        </w:rPr>
        <w:t xml:space="preserve">The number of trading premises as at </w:t>
      </w:r>
      <w:r w:rsidR="00DE690E" w:rsidRPr="00DE690E">
        <w:rPr>
          <w:b/>
          <w:snapToGrid w:val="0"/>
          <w:szCs w:val="24"/>
        </w:rPr>
        <w:t xml:space="preserve">31 March </w:t>
      </w:r>
      <w:r w:rsidR="00F70BEC">
        <w:rPr>
          <w:b/>
          <w:snapToGrid w:val="0"/>
          <w:szCs w:val="24"/>
        </w:rPr>
        <w:t>202</w:t>
      </w:r>
      <w:r w:rsidR="002D0837">
        <w:rPr>
          <w:b/>
          <w:snapToGrid w:val="0"/>
          <w:szCs w:val="24"/>
        </w:rPr>
        <w:t>3</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trading properties (herediments)</w:t>
      </w:r>
      <w:r w:rsidR="000F4817">
        <w:rPr>
          <w:snapToGrid w:val="0"/>
          <w:szCs w:val="24"/>
        </w:rPr>
        <w:t xml:space="preserve">.  </w:t>
      </w:r>
      <w:r w:rsidRPr="00DE690E">
        <w:rPr>
          <w:snapToGrid w:val="0"/>
          <w:szCs w:val="24"/>
        </w:rPr>
        <w:t>This means that these properties are liable to a non-domestic rating and thu</w:t>
      </w:r>
      <w:r w:rsidR="000F4817">
        <w:rPr>
          <w:snapToGrid w:val="0"/>
          <w:szCs w:val="24"/>
        </w:rPr>
        <w:t xml:space="preserve">s appear in a local rating list.  </w:t>
      </w:r>
      <w:r w:rsidRPr="00DE690E">
        <w:rPr>
          <w:snapToGrid w:val="0"/>
          <w:szCs w:val="24"/>
        </w:rPr>
        <w:t>These include commercial, industrial and leisure properties</w:t>
      </w:r>
      <w:r w:rsidR="000F4817">
        <w:rPr>
          <w:snapToGrid w:val="0"/>
          <w:szCs w:val="24"/>
        </w:rPr>
        <w:t xml:space="preserve">.  </w:t>
      </w:r>
      <w:r w:rsidRPr="00DE690E">
        <w:rPr>
          <w:snapToGrid w:val="0"/>
          <w:szCs w:val="24"/>
        </w:rPr>
        <w:t>This data is ro</w:t>
      </w:r>
      <w:r w:rsidR="000F4817">
        <w:rPr>
          <w:snapToGrid w:val="0"/>
          <w:szCs w:val="24"/>
        </w:rPr>
        <w:t>unded to the nearest 10 units.</w:t>
      </w:r>
    </w:p>
    <w:p w14:paraId="4BEF48D6" w14:textId="77777777" w:rsidR="00AA2F19" w:rsidRPr="00DE690E" w:rsidRDefault="00AA2F19" w:rsidP="00AA2F19">
      <w:pPr>
        <w:rPr>
          <w:snapToGrid w:val="0"/>
          <w:szCs w:val="24"/>
        </w:rPr>
      </w:pPr>
    </w:p>
    <w:p w14:paraId="35CA06C5" w14:textId="77777777" w:rsidR="00AA2F19" w:rsidRPr="00504C29" w:rsidRDefault="00AA2F19" w:rsidP="00AA2F19">
      <w:pPr>
        <w:pStyle w:val="ListParagraph"/>
        <w:widowControl/>
        <w:numPr>
          <w:ilvl w:val="0"/>
          <w:numId w:val="3"/>
        </w:numPr>
        <w:autoSpaceDE/>
        <w:autoSpaceDN/>
        <w:contextualSpacing/>
        <w:rPr>
          <w:rFonts w:asciiTheme="majorHAnsi" w:hAnsiTheme="majorHAnsi" w:cstheme="majorHAnsi"/>
          <w:b/>
          <w:bCs/>
          <w:snapToGrid w:val="0"/>
          <w:color w:val="44546A" w:themeColor="text2"/>
          <w:sz w:val="26"/>
          <w:szCs w:val="26"/>
        </w:rPr>
      </w:pPr>
      <w:r w:rsidRPr="00504C29">
        <w:rPr>
          <w:rFonts w:asciiTheme="majorHAnsi" w:hAnsiTheme="majorHAnsi" w:cstheme="majorHAnsi"/>
          <w:b/>
          <w:bCs/>
          <w:snapToGrid w:val="0"/>
          <w:color w:val="44546A" w:themeColor="text2"/>
          <w:sz w:val="26"/>
          <w:szCs w:val="26"/>
        </w:rPr>
        <w:t>Food Premises</w:t>
      </w:r>
    </w:p>
    <w:p w14:paraId="227282EB" w14:textId="77777777" w:rsidR="00AA2F19" w:rsidRPr="00DE690E" w:rsidRDefault="00AA2F19" w:rsidP="00AA2F19">
      <w:pPr>
        <w:rPr>
          <w:b/>
          <w:i/>
          <w:snapToGrid w:val="0"/>
          <w:szCs w:val="24"/>
        </w:rPr>
      </w:pPr>
    </w:p>
    <w:p w14:paraId="1E153290" w14:textId="45C0C5DF" w:rsidR="00AA2F19" w:rsidRPr="00DE690E" w:rsidRDefault="00AA2F19" w:rsidP="00AA2F19">
      <w:pPr>
        <w:rPr>
          <w:snapToGrid w:val="0"/>
          <w:szCs w:val="24"/>
        </w:rPr>
      </w:pPr>
      <w:r w:rsidRPr="00DE690E">
        <w:rPr>
          <w:snapToGrid w:val="0"/>
          <w:szCs w:val="24"/>
        </w:rPr>
        <w:t xml:space="preserve">The number of food premises as at </w:t>
      </w:r>
      <w:r w:rsidR="00DE690E" w:rsidRPr="00DE690E">
        <w:rPr>
          <w:b/>
          <w:snapToGrid w:val="0"/>
          <w:szCs w:val="24"/>
        </w:rPr>
        <w:t xml:space="preserve">31 March </w:t>
      </w:r>
      <w:r w:rsidR="00F70BEC">
        <w:rPr>
          <w:b/>
          <w:snapToGrid w:val="0"/>
          <w:szCs w:val="24"/>
        </w:rPr>
        <w:t>202</w:t>
      </w:r>
      <w:r w:rsidR="002D0837">
        <w:rPr>
          <w:b/>
          <w:snapToGrid w:val="0"/>
          <w:szCs w:val="24"/>
        </w:rPr>
        <w:t>3</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food properties (herediments)</w:t>
      </w:r>
      <w:r w:rsidR="000F4817">
        <w:rPr>
          <w:snapToGrid w:val="0"/>
          <w:szCs w:val="24"/>
        </w:rPr>
        <w:t xml:space="preserve">.  </w:t>
      </w:r>
      <w:r w:rsidRPr="00DE690E">
        <w:rPr>
          <w:snapToGrid w:val="0"/>
          <w:szCs w:val="24"/>
        </w:rPr>
        <w:t>This means that these properties are liable to a non-domestic rating and thus appear in a local rating list</w:t>
      </w:r>
      <w:r w:rsidR="000F4817">
        <w:rPr>
          <w:snapToGrid w:val="0"/>
          <w:szCs w:val="24"/>
        </w:rPr>
        <w:t xml:space="preserve">.  </w:t>
      </w:r>
      <w:r w:rsidRPr="00DE690E">
        <w:rPr>
          <w:snapToGrid w:val="0"/>
          <w:szCs w:val="24"/>
        </w:rPr>
        <w:t>This data is rounded to the nearest 10 units.</w:t>
      </w:r>
    </w:p>
    <w:p w14:paraId="2E4172D7" w14:textId="77777777" w:rsidR="00AA2F19" w:rsidRPr="00DE690E" w:rsidRDefault="00AA2F19" w:rsidP="00AA2F19">
      <w:pPr>
        <w:rPr>
          <w:snapToGrid w:val="0"/>
          <w:szCs w:val="24"/>
        </w:rPr>
      </w:pPr>
    </w:p>
    <w:p w14:paraId="4E04A762" w14:textId="5B9216A5" w:rsidR="00171EE5" w:rsidRDefault="00E471FA" w:rsidP="00F31ECF">
      <w:pPr>
        <w:rPr>
          <w:b/>
        </w:rPr>
      </w:pPr>
      <w:r>
        <w:rPr>
          <w:snapToGrid w:val="0"/>
          <w:szCs w:val="24"/>
        </w:rPr>
        <w:t xml:space="preserve">This information is calculated using VOA data by </w:t>
      </w:r>
      <w:r w:rsidRPr="00E471FA">
        <w:rPr>
          <w:snapToGrid w:val="0"/>
          <w:szCs w:val="24"/>
        </w:rPr>
        <w:t>Local Govern</w:t>
      </w:r>
      <w:r>
        <w:rPr>
          <w:snapToGrid w:val="0"/>
          <w:szCs w:val="24"/>
        </w:rPr>
        <w:t>ment Strategic Finance Division</w:t>
      </w:r>
      <w:r w:rsidR="008A3843">
        <w:rPr>
          <w:snapToGrid w:val="0"/>
          <w:szCs w:val="24"/>
        </w:rPr>
        <w:t>.</w:t>
      </w:r>
      <w:r w:rsidR="00F31ECF">
        <w:rPr>
          <w:snapToGrid w:val="0"/>
          <w:szCs w:val="24"/>
        </w:rPr>
        <w:t xml:space="preserve"> </w:t>
      </w:r>
      <w:r w:rsidR="00171EE5" w:rsidRPr="002360CF">
        <w:t>This data is not available on the internet</w:t>
      </w:r>
      <w:r w:rsidR="000F4817">
        <w:t xml:space="preserve">.  </w:t>
      </w:r>
      <w:r w:rsidR="00171EE5" w:rsidRPr="002360CF">
        <w:t xml:space="preserve">For contact details please </w:t>
      </w:r>
      <w:r w:rsidR="008A3843" w:rsidRPr="00DE690E">
        <w:t xml:space="preserve">see </w:t>
      </w:r>
      <w:hyperlink w:anchor="_Annex_A" w:history="1">
        <w:r w:rsidR="008A3843" w:rsidRPr="00741B88">
          <w:rPr>
            <w:rStyle w:val="Hyperlink"/>
          </w:rPr>
          <w:t>Annex A</w:t>
        </w:r>
      </w:hyperlink>
      <w:r w:rsidR="00171EE5" w:rsidRPr="002360CF">
        <w:t>.</w:t>
      </w:r>
    </w:p>
    <w:p w14:paraId="4D13A2BC" w14:textId="77777777" w:rsidR="002360CF" w:rsidRPr="002360CF" w:rsidRDefault="002360CF" w:rsidP="003C069C">
      <w:pPr>
        <w:pStyle w:val="Heading1"/>
        <w:spacing w:before="70"/>
        <w:ind w:left="0"/>
        <w:rPr>
          <w:b w:val="0"/>
          <w:color w:val="FF0000"/>
          <w:sz w:val="22"/>
          <w:szCs w:val="22"/>
        </w:rPr>
      </w:pPr>
    </w:p>
    <w:p w14:paraId="56664DB4" w14:textId="1BF767C3" w:rsidR="00AA2F19" w:rsidRPr="002360CF" w:rsidRDefault="002360CF" w:rsidP="002360CF">
      <w:pPr>
        <w:pStyle w:val="Heading1"/>
        <w:spacing w:before="70"/>
        <w:ind w:left="0"/>
        <w:rPr>
          <w:b w:val="0"/>
          <w:sz w:val="22"/>
          <w:szCs w:val="22"/>
        </w:rPr>
      </w:pPr>
      <w:r w:rsidRPr="002360CF">
        <w:rPr>
          <w:b w:val="0"/>
          <w:sz w:val="22"/>
          <w:szCs w:val="22"/>
        </w:rPr>
        <w:t xml:space="preserve">For a </w:t>
      </w:r>
      <w:r w:rsidRPr="002360CF">
        <w:rPr>
          <w:sz w:val="22"/>
          <w:szCs w:val="22"/>
        </w:rPr>
        <w:t>breakdown</w:t>
      </w:r>
      <w:r w:rsidRPr="002360CF">
        <w:rPr>
          <w:b w:val="0"/>
          <w:sz w:val="22"/>
          <w:szCs w:val="22"/>
        </w:rPr>
        <w:t xml:space="preserve"> of the food and trading premises included within the settlement calculations please see the attached spreadsheet in </w:t>
      </w:r>
      <w:hyperlink w:anchor="lookup" w:history="1">
        <w:r w:rsidRPr="002360CF">
          <w:rPr>
            <w:rStyle w:val="Hyperlink"/>
            <w:b w:val="0"/>
            <w:sz w:val="22"/>
            <w:szCs w:val="22"/>
          </w:rPr>
          <w:t>Annex A</w:t>
        </w:r>
      </w:hyperlink>
      <w:r>
        <w:rPr>
          <w:b w:val="0"/>
          <w:sz w:val="22"/>
          <w:szCs w:val="22"/>
        </w:rPr>
        <w:t>.</w:t>
      </w:r>
    </w:p>
    <w:p w14:paraId="586BE036" w14:textId="77777777" w:rsidR="002360CF" w:rsidRPr="003C069C" w:rsidRDefault="002360CF" w:rsidP="002360CF">
      <w:pPr>
        <w:pStyle w:val="Heading1"/>
        <w:spacing w:before="70"/>
        <w:ind w:left="0"/>
        <w:rPr>
          <w:b w:val="0"/>
        </w:rPr>
      </w:pPr>
    </w:p>
    <w:p w14:paraId="2DBFC723" w14:textId="77777777" w:rsidR="00AA2F19" w:rsidRPr="006A10B6" w:rsidRDefault="00AA2F19" w:rsidP="00FE262A">
      <w:pPr>
        <w:pStyle w:val="Heading1"/>
      </w:pPr>
      <w:r w:rsidRPr="006A10B6">
        <w:t>Street Lighting Units</w:t>
      </w:r>
    </w:p>
    <w:p w14:paraId="178455A3" w14:textId="77777777" w:rsidR="00AA2F19" w:rsidRPr="00504C29" w:rsidRDefault="00AA2F19" w:rsidP="00FE262A">
      <w:pPr>
        <w:pStyle w:val="Heading2"/>
        <w:keepNext w:val="0"/>
        <w:keepLines w:val="0"/>
        <w:numPr>
          <w:ilvl w:val="0"/>
          <w:numId w:val="1"/>
        </w:numPr>
        <w:tabs>
          <w:tab w:val="left" w:pos="478"/>
          <w:tab w:val="left" w:pos="479"/>
        </w:tabs>
        <w:spacing w:before="0"/>
        <w:ind w:left="478"/>
        <w:rPr>
          <w:b/>
          <w:bCs/>
          <w:color w:val="44546A" w:themeColor="text2"/>
        </w:rPr>
      </w:pPr>
      <w:r w:rsidRPr="00504C29">
        <w:rPr>
          <w:b/>
          <w:bCs/>
          <w:color w:val="44546A" w:themeColor="text2"/>
        </w:rPr>
        <w:t>Total number of street lighting units</w:t>
      </w:r>
    </w:p>
    <w:p w14:paraId="4AD602F7" w14:textId="77777777" w:rsidR="00AA2F19" w:rsidRPr="006A10B6" w:rsidRDefault="00AA2F19" w:rsidP="00AA2F19">
      <w:pPr>
        <w:rPr>
          <w:i/>
          <w:snapToGrid w:val="0"/>
          <w:szCs w:val="24"/>
        </w:rPr>
      </w:pPr>
    </w:p>
    <w:p w14:paraId="0F3C92C7" w14:textId="0F73C7FE" w:rsidR="00AA2F19" w:rsidRPr="006A10B6" w:rsidRDefault="00AA2F19" w:rsidP="00AA2F19">
      <w:pPr>
        <w:rPr>
          <w:snapToGrid w:val="0"/>
          <w:szCs w:val="24"/>
        </w:rPr>
      </w:pPr>
      <w:r w:rsidRPr="006A10B6">
        <w:rPr>
          <w:snapToGrid w:val="0"/>
          <w:szCs w:val="24"/>
        </w:rPr>
        <w:t xml:space="preserve">The total number of street lighting units (as at </w:t>
      </w:r>
      <w:r w:rsidRPr="006A10B6">
        <w:rPr>
          <w:b/>
          <w:snapToGrid w:val="0"/>
          <w:szCs w:val="24"/>
        </w:rPr>
        <w:t xml:space="preserve">1 April </w:t>
      </w:r>
      <w:r w:rsidR="00F70BEC">
        <w:rPr>
          <w:b/>
          <w:snapToGrid w:val="0"/>
          <w:szCs w:val="24"/>
        </w:rPr>
        <w:t>202</w:t>
      </w:r>
      <w:r w:rsidR="004833E6">
        <w:rPr>
          <w:b/>
          <w:snapToGrid w:val="0"/>
          <w:szCs w:val="24"/>
        </w:rPr>
        <w:t>3</w:t>
      </w:r>
      <w:r w:rsidRPr="006A10B6">
        <w:rPr>
          <w:snapToGrid w:val="0"/>
          <w:szCs w:val="24"/>
        </w:rPr>
        <w:t xml:space="preserve">) is defined as the number of “lanterns” i.e. the element containing the reflector and lamps as collected from local authorities by the Welsh Government Local Government Finance team. </w:t>
      </w:r>
    </w:p>
    <w:p w14:paraId="21D795FD" w14:textId="77777777" w:rsidR="00AA2F19" w:rsidRPr="006A10B6" w:rsidRDefault="00AA2F19" w:rsidP="00AA2F19">
      <w:pPr>
        <w:rPr>
          <w:snapToGrid w:val="0"/>
          <w:szCs w:val="24"/>
        </w:rPr>
      </w:pPr>
    </w:p>
    <w:p w14:paraId="66A1DF81" w14:textId="578FF37E" w:rsidR="00AA2F19" w:rsidRPr="006A10B6" w:rsidRDefault="00AA2F19" w:rsidP="00AA2F19">
      <w:pPr>
        <w:rPr>
          <w:snapToGrid w:val="0"/>
          <w:szCs w:val="24"/>
        </w:rPr>
      </w:pPr>
      <w:r w:rsidRPr="006A10B6">
        <w:rPr>
          <w:snapToGrid w:val="0"/>
          <w:szCs w:val="24"/>
        </w:rPr>
        <w:t>This includes lights on all local authority adopted roads; streetlights mounted on other structures e.g. buildings, where the purpose of the lamp is to illuminate the highway/street and lamps in highway tunnels</w:t>
      </w:r>
      <w:r w:rsidR="000F4817">
        <w:rPr>
          <w:snapToGrid w:val="0"/>
          <w:szCs w:val="24"/>
        </w:rPr>
        <w:t xml:space="preserve">.  </w:t>
      </w:r>
      <w:r w:rsidRPr="006A10B6">
        <w:rPr>
          <w:snapToGrid w:val="0"/>
          <w:szCs w:val="24"/>
        </w:rPr>
        <w:t>The figures do not include illuminated traffic bollards or illuminated road signs.</w:t>
      </w:r>
    </w:p>
    <w:p w14:paraId="6B083479" w14:textId="77777777" w:rsidR="00AA2F19" w:rsidRPr="006A10B6" w:rsidRDefault="00AA2F19" w:rsidP="00AA2F19">
      <w:pPr>
        <w:rPr>
          <w:snapToGrid w:val="0"/>
          <w:szCs w:val="24"/>
        </w:rPr>
      </w:pPr>
    </w:p>
    <w:p w14:paraId="34D1F347" w14:textId="7FBAB439" w:rsidR="00AA2F19" w:rsidRPr="006A10B6" w:rsidRDefault="00AA2F19" w:rsidP="00AA2F19">
      <w:pPr>
        <w:rPr>
          <w:snapToGrid w:val="0"/>
          <w:color w:val="000000"/>
          <w:szCs w:val="24"/>
        </w:rPr>
      </w:pPr>
      <w:r w:rsidRPr="006A10B6">
        <w:rPr>
          <w:snapToGrid w:val="0"/>
          <w:color w:val="000000"/>
          <w:szCs w:val="24"/>
        </w:rPr>
        <w:t>This data is not available on the internet</w:t>
      </w:r>
      <w:r w:rsidR="000F4817">
        <w:rPr>
          <w:snapToGrid w:val="0"/>
          <w:color w:val="000000"/>
          <w:szCs w:val="24"/>
        </w:rPr>
        <w:t xml:space="preserve">.  </w:t>
      </w:r>
      <w:r w:rsidRPr="006A10B6">
        <w:rPr>
          <w:snapToGrid w:val="0"/>
          <w:color w:val="000000"/>
          <w:szCs w:val="24"/>
        </w:rPr>
        <w:t>For contact details please see Annex A.</w:t>
      </w:r>
    </w:p>
    <w:p w14:paraId="756EC53A" w14:textId="77777777" w:rsidR="00AA2F19" w:rsidRPr="00BF418A" w:rsidRDefault="00AA2F19" w:rsidP="00B53FAF">
      <w:pPr>
        <w:pStyle w:val="Heading1"/>
        <w:spacing w:before="70"/>
        <w:rPr>
          <w:highlight w:val="yellow"/>
        </w:rPr>
      </w:pPr>
    </w:p>
    <w:p w14:paraId="35914B7D" w14:textId="77777777" w:rsidR="00AA2F19" w:rsidRPr="00345C36" w:rsidRDefault="00AA2F19" w:rsidP="00B53FAF">
      <w:pPr>
        <w:widowControl/>
        <w:autoSpaceDE/>
        <w:autoSpaceDN/>
        <w:spacing w:after="160" w:line="259" w:lineRule="auto"/>
        <w:rPr>
          <w:b/>
          <w:snapToGrid w:val="0"/>
          <w:sz w:val="24"/>
          <w:szCs w:val="24"/>
        </w:rPr>
      </w:pPr>
      <w:r w:rsidRPr="00345C36">
        <w:rPr>
          <w:b/>
          <w:snapToGrid w:val="0"/>
          <w:sz w:val="24"/>
          <w:szCs w:val="24"/>
        </w:rPr>
        <w:t>Mortality</w:t>
      </w:r>
    </w:p>
    <w:p w14:paraId="6EE3E420" w14:textId="77777777" w:rsidR="00AA2F19" w:rsidRPr="00D00674" w:rsidRDefault="00AA2F19" w:rsidP="00FE262A">
      <w:pPr>
        <w:pStyle w:val="Heading2"/>
        <w:keepNext w:val="0"/>
        <w:keepLines w:val="0"/>
        <w:numPr>
          <w:ilvl w:val="0"/>
          <w:numId w:val="1"/>
        </w:numPr>
        <w:tabs>
          <w:tab w:val="left" w:pos="478"/>
          <w:tab w:val="left" w:pos="479"/>
        </w:tabs>
        <w:spacing w:before="0"/>
        <w:ind w:left="478"/>
        <w:rPr>
          <w:b/>
          <w:bCs/>
        </w:rPr>
      </w:pPr>
      <w:r w:rsidRPr="00D00674">
        <w:rPr>
          <w:b/>
          <w:bCs/>
          <w:color w:val="44546A" w:themeColor="text2"/>
        </w:rPr>
        <w:t>Number of registered deaths from all causes</w:t>
      </w:r>
    </w:p>
    <w:p w14:paraId="37B393B1" w14:textId="77777777" w:rsidR="00AA2F19" w:rsidRPr="00345C36" w:rsidRDefault="00AA2F19" w:rsidP="00AA2F19">
      <w:pPr>
        <w:rPr>
          <w:snapToGrid w:val="0"/>
          <w:szCs w:val="24"/>
        </w:rPr>
      </w:pPr>
    </w:p>
    <w:p w14:paraId="7F35AEB6" w14:textId="1B6CE145" w:rsidR="00AA2F19" w:rsidRPr="00345C36" w:rsidRDefault="00AA2F19" w:rsidP="00AA2F19">
      <w:pPr>
        <w:rPr>
          <w:snapToGrid w:val="0"/>
          <w:szCs w:val="24"/>
        </w:rPr>
      </w:pPr>
      <w:r w:rsidRPr="00345C36">
        <w:rPr>
          <w:snapToGrid w:val="0"/>
          <w:szCs w:val="24"/>
        </w:rPr>
        <w:t xml:space="preserve">The numbers of deaths registered in </w:t>
      </w:r>
      <w:r w:rsidR="00F70BEC">
        <w:rPr>
          <w:b/>
          <w:snapToGrid w:val="0"/>
          <w:szCs w:val="24"/>
        </w:rPr>
        <w:t>202</w:t>
      </w:r>
      <w:r w:rsidR="004833E6">
        <w:rPr>
          <w:b/>
          <w:snapToGrid w:val="0"/>
          <w:szCs w:val="24"/>
        </w:rPr>
        <w:t>2</w:t>
      </w:r>
      <w:r w:rsidRPr="00345C36">
        <w:rPr>
          <w:snapToGrid w:val="0"/>
          <w:szCs w:val="24"/>
        </w:rPr>
        <w:t xml:space="preserve"> from all causes (Table 2 Deaths by local authority of usual residence, numbers and standardised mortality ratios (SMRs) by sex, </w:t>
      </w:r>
      <w:r w:rsidR="00F70BEC">
        <w:rPr>
          <w:b/>
          <w:snapToGrid w:val="0"/>
          <w:szCs w:val="24"/>
        </w:rPr>
        <w:t>202</w:t>
      </w:r>
      <w:r w:rsidR="004833E6">
        <w:rPr>
          <w:b/>
          <w:snapToGrid w:val="0"/>
          <w:szCs w:val="24"/>
        </w:rPr>
        <w:t>2</w:t>
      </w:r>
      <w:r w:rsidRPr="00345C36">
        <w:rPr>
          <w:b/>
          <w:snapToGrid w:val="0"/>
          <w:szCs w:val="24"/>
        </w:rPr>
        <w:t xml:space="preserve"> registrations</w:t>
      </w:r>
      <w:r w:rsidRPr="00345C36">
        <w:rPr>
          <w:snapToGrid w:val="0"/>
          <w:szCs w:val="24"/>
        </w:rPr>
        <w:t>)</w:t>
      </w:r>
      <w:r w:rsidR="000F4817">
        <w:rPr>
          <w:snapToGrid w:val="0"/>
          <w:szCs w:val="24"/>
        </w:rPr>
        <w:t xml:space="preserve">.  </w:t>
      </w:r>
      <w:r w:rsidRPr="00345C36">
        <w:rPr>
          <w:snapToGrid w:val="0"/>
          <w:szCs w:val="24"/>
        </w:rPr>
        <w:t>The year in which a death is registered may not equate to the year of occurrence of that death</w:t>
      </w:r>
      <w:r w:rsidR="000F4817">
        <w:rPr>
          <w:snapToGrid w:val="0"/>
          <w:szCs w:val="24"/>
        </w:rPr>
        <w:t xml:space="preserve">.  </w:t>
      </w:r>
      <w:r w:rsidRPr="00345C36">
        <w:rPr>
          <w:snapToGrid w:val="0"/>
          <w:szCs w:val="24"/>
        </w:rPr>
        <w:t>This has little effect on annual totals.</w:t>
      </w:r>
    </w:p>
    <w:p w14:paraId="497C6BE9" w14:textId="77777777" w:rsidR="00AA2F19" w:rsidRPr="00345C36" w:rsidRDefault="00AA2F19" w:rsidP="00AA2F19">
      <w:pPr>
        <w:pStyle w:val="Heading2"/>
        <w:rPr>
          <w:rFonts w:cs="Arial"/>
          <w:b/>
          <w:szCs w:val="24"/>
        </w:rPr>
      </w:pPr>
    </w:p>
    <w:p w14:paraId="4544A3C9" w14:textId="2C272DF6" w:rsidR="00AA2F19" w:rsidRPr="00345C36" w:rsidRDefault="00EC04CA" w:rsidP="00AA2F19">
      <w:r>
        <w:t>You can</w:t>
      </w:r>
      <w:r w:rsidR="00AA2F19" w:rsidRPr="00345C36">
        <w:t xml:space="preserve"> retrieve the data set from the </w:t>
      </w:r>
      <w:r>
        <w:t>‘</w:t>
      </w:r>
      <w:bookmarkStart w:id="1" w:name="_Hlk116585134"/>
      <w:r>
        <w:fldChar w:fldCharType="begin"/>
      </w:r>
      <w:r w:rsidR="004833E6">
        <w:instrText>HYPERLINK "https://www.ons.gov.uk/peoplepopulationandcommunity/birthsdeathsandmarriages/deaths/datasets/deathsregisteredsummarystatisticsenglandandwales"</w:instrText>
      </w:r>
      <w:r>
        <w:fldChar w:fldCharType="separate"/>
      </w:r>
      <w:r w:rsidRPr="00EC04CA">
        <w:rPr>
          <w:rStyle w:val="Hyperlink"/>
        </w:rPr>
        <w:t xml:space="preserve">Deaths registered in England &amp; </w:t>
      </w:r>
      <w:proofErr w:type="spellStart"/>
      <w:r w:rsidRPr="00EC04CA">
        <w:rPr>
          <w:rStyle w:val="Hyperlink"/>
        </w:rPr>
        <w:t>Wales</w:t>
      </w:r>
      <w:r>
        <w:fldChar w:fldCharType="end"/>
      </w:r>
      <w:bookmarkEnd w:id="1"/>
      <w:r>
        <w:t>’</w:t>
      </w:r>
      <w:proofErr w:type="spellEnd"/>
      <w:r>
        <w:t xml:space="preserve"> page on the </w:t>
      </w:r>
      <w:r w:rsidR="00AA2F19" w:rsidRPr="00345C36">
        <w:t>Office for National Statistics (ONS) website</w:t>
      </w:r>
      <w:r>
        <w:t xml:space="preserve">, and clicking on </w:t>
      </w:r>
      <w:r w:rsidR="00345C36" w:rsidRPr="00345C36">
        <w:t xml:space="preserve">the spreadsheet beneath </w:t>
      </w:r>
      <w:r>
        <w:t>‘</w:t>
      </w:r>
      <w:r w:rsidR="00F70BEC">
        <w:t>202</w:t>
      </w:r>
      <w:r w:rsidR="005E73F0">
        <w:t>2</w:t>
      </w:r>
      <w:r>
        <w:t xml:space="preserve"> </w:t>
      </w:r>
      <w:bookmarkStart w:id="2" w:name="_Hlk116585171"/>
      <w:r>
        <w:t>edition of this dataset</w:t>
      </w:r>
      <w:bookmarkEnd w:id="2"/>
      <w:r>
        <w:t>’</w:t>
      </w:r>
      <w:r w:rsidR="000F4817">
        <w:t xml:space="preserve">.  </w:t>
      </w:r>
      <w:r w:rsidR="00AA2F19" w:rsidRPr="00345C36">
        <w:t xml:space="preserve">Go to </w:t>
      </w:r>
      <w:bookmarkStart w:id="3" w:name="_Hlk116585494"/>
      <w:r w:rsidR="00DE17FC" w:rsidRPr="00DE17FC">
        <w:t>Sheet 2a: Numbers of deaths and age-standardised mortality rates (ASMRs) by sex and area of usual residence, registered 202</w:t>
      </w:r>
      <w:r w:rsidR="005E73F0">
        <w:t>2</w:t>
      </w:r>
      <w:r w:rsidR="00DE17FC">
        <w:t>,</w:t>
      </w:r>
      <w:r w:rsidR="00644929">
        <w:t xml:space="preserve"> </w:t>
      </w:r>
      <w:bookmarkEnd w:id="3"/>
      <w:r w:rsidR="00644929">
        <w:t>starting from row 3</w:t>
      </w:r>
      <w:r w:rsidR="00DE17FC">
        <w:t>57</w:t>
      </w:r>
      <w:r w:rsidR="009740A5" w:rsidRPr="00345C36">
        <w:t xml:space="preserve"> and column D</w:t>
      </w:r>
      <w:r w:rsidR="00AA2F19" w:rsidRPr="00345C36">
        <w:t>.</w:t>
      </w:r>
    </w:p>
    <w:p w14:paraId="754C1D33" w14:textId="77777777" w:rsidR="00AA2F19" w:rsidRPr="00345C36" w:rsidRDefault="00AA2F19" w:rsidP="00AA2F19"/>
    <w:p w14:paraId="6CA28DE8" w14:textId="77777777" w:rsidR="009740A5" w:rsidRPr="00BF418A" w:rsidRDefault="009740A5" w:rsidP="002068E2">
      <w:pPr>
        <w:rPr>
          <w:highlight w:val="yellow"/>
        </w:rPr>
      </w:pPr>
    </w:p>
    <w:p w14:paraId="101DD452" w14:textId="77777777" w:rsidR="009740A5" w:rsidRPr="00345C36" w:rsidRDefault="009740A5" w:rsidP="009740A5">
      <w:pPr>
        <w:rPr>
          <w:b/>
          <w:snapToGrid w:val="0"/>
          <w:sz w:val="24"/>
          <w:szCs w:val="24"/>
        </w:rPr>
      </w:pPr>
      <w:r w:rsidRPr="00345C36">
        <w:rPr>
          <w:b/>
          <w:snapToGrid w:val="0"/>
          <w:sz w:val="24"/>
          <w:szCs w:val="24"/>
        </w:rPr>
        <w:t xml:space="preserve">Council Tax Reduction Schemes </w:t>
      </w:r>
      <w:bookmarkStart w:id="4" w:name="_Hlk116585553"/>
      <w:r w:rsidRPr="00345C36">
        <w:rPr>
          <w:b/>
          <w:snapToGrid w:val="0"/>
          <w:sz w:val="24"/>
          <w:szCs w:val="24"/>
        </w:rPr>
        <w:t xml:space="preserve">(CTRS) </w:t>
      </w:r>
      <w:bookmarkEnd w:id="4"/>
      <w:r w:rsidRPr="00345C36">
        <w:rPr>
          <w:b/>
          <w:snapToGrid w:val="0"/>
          <w:sz w:val="24"/>
          <w:szCs w:val="24"/>
        </w:rPr>
        <w:t>Data</w:t>
      </w:r>
    </w:p>
    <w:p w14:paraId="6367102C" w14:textId="77777777" w:rsidR="009740A5" w:rsidRPr="00345C36" w:rsidRDefault="009740A5" w:rsidP="009740A5"/>
    <w:p w14:paraId="03E465A5" w14:textId="34AE6C52" w:rsidR="009740A5" w:rsidRDefault="009740A5" w:rsidP="009740A5">
      <w:r w:rsidRPr="00345C36">
        <w:t>This data was collected directly from Unitary Authorities during 2016 by the service director for operational finance at Rhondda Cynon Taf council</w:t>
      </w:r>
      <w:r w:rsidR="000F4817">
        <w:t xml:space="preserve">.  </w:t>
      </w:r>
      <w:r w:rsidR="004C3F57" w:rsidRPr="004C3F57">
        <w:t>Please specify the figures as at</w:t>
      </w:r>
      <w:r w:rsidR="004C3F57" w:rsidRPr="004C3F57">
        <w:rPr>
          <w:b/>
        </w:rPr>
        <w:t xml:space="preserve"> 31 March </w:t>
      </w:r>
      <w:r w:rsidR="00F70BEC">
        <w:rPr>
          <w:b/>
        </w:rPr>
        <w:t>202</w:t>
      </w:r>
      <w:r w:rsidR="004F7D61">
        <w:rPr>
          <w:b/>
        </w:rPr>
        <w:t>3</w:t>
      </w:r>
      <w:r w:rsidR="004C3F57" w:rsidRPr="004C3F57">
        <w:t xml:space="preserve"> as per</w:t>
      </w:r>
      <w:r w:rsidR="004C3F57" w:rsidRPr="004C3F57">
        <w:rPr>
          <w:b/>
        </w:rPr>
        <w:t xml:space="preserve"> the “posting” year </w:t>
      </w:r>
      <w:r w:rsidR="00F70BEC">
        <w:rPr>
          <w:b/>
        </w:rPr>
        <w:t>202</w:t>
      </w:r>
      <w:r w:rsidR="004F7D61">
        <w:rPr>
          <w:b/>
        </w:rPr>
        <w:t>2</w:t>
      </w:r>
      <w:r w:rsidR="009C5088">
        <w:rPr>
          <w:b/>
        </w:rPr>
        <w:t>/2</w:t>
      </w:r>
      <w:r w:rsidR="004F7D61">
        <w:rPr>
          <w:b/>
        </w:rPr>
        <w:t>3</w:t>
      </w:r>
      <w:r w:rsidR="002C0B1D">
        <w:t>.</w:t>
      </w:r>
      <w:r w:rsidR="009227CF">
        <w:t xml:space="preserve"> </w:t>
      </w:r>
      <w:r w:rsidR="004C3F57">
        <w:t xml:space="preserve"> </w:t>
      </w:r>
      <w:r w:rsidR="009227CF">
        <w:t>The data we have used</w:t>
      </w:r>
      <w:r w:rsidR="00296E81">
        <w:t xml:space="preserve"> this year have been provided </w:t>
      </w:r>
      <w:r w:rsidR="009227CF">
        <w:t>by the WLGA</w:t>
      </w:r>
      <w:r w:rsidR="00296E81">
        <w:t xml:space="preserve"> after an extensive validation exercise.</w:t>
      </w:r>
    </w:p>
    <w:p w14:paraId="6C1C0F81" w14:textId="77777777" w:rsidR="009740A5" w:rsidRPr="00E640EA" w:rsidRDefault="009740A5" w:rsidP="009740A5"/>
    <w:p w14:paraId="2B6956E5" w14:textId="77777777" w:rsidR="009227CF" w:rsidRPr="00345C36" w:rsidRDefault="009227CF" w:rsidP="009227CF">
      <w:pPr>
        <w:widowControl/>
        <w:numPr>
          <w:ilvl w:val="0"/>
          <w:numId w:val="6"/>
        </w:numPr>
        <w:autoSpaceDE/>
        <w:autoSpaceDN/>
        <w:rPr>
          <w:szCs w:val="24"/>
        </w:rPr>
      </w:pPr>
      <w:r w:rsidRPr="00345C36">
        <w:rPr>
          <w:b/>
          <w:szCs w:val="24"/>
        </w:rPr>
        <w:t>Council Tax Reduction Schemes Expenditure</w:t>
      </w:r>
    </w:p>
    <w:p w14:paraId="03375687" w14:textId="77777777" w:rsidR="009227CF" w:rsidRPr="00345C36" w:rsidRDefault="009227CF" w:rsidP="009227CF">
      <w:r w:rsidRPr="00345C36">
        <w:t xml:space="preserve">For sites operating the Capita system please return cell HB9646 - CTS Expenditure Report. </w:t>
      </w:r>
    </w:p>
    <w:p w14:paraId="7CFF2985" w14:textId="77777777" w:rsidR="009227CF" w:rsidRPr="00345C36" w:rsidRDefault="009227CF" w:rsidP="009227CF">
      <w:r w:rsidRPr="00345C36">
        <w:t>For sites operating the Northgate system please return cell RRV403</w:t>
      </w:r>
      <w:r w:rsidRPr="00345C36">
        <w:rPr>
          <w:color w:val="FF0000"/>
        </w:rPr>
        <w:t xml:space="preserve"> </w:t>
      </w:r>
      <w:r w:rsidRPr="00345C36">
        <w:t>- Control Account Summary</w:t>
      </w:r>
    </w:p>
    <w:p w14:paraId="63E8C129" w14:textId="77777777" w:rsidR="009227CF" w:rsidRPr="00345C36" w:rsidRDefault="009227CF" w:rsidP="009227CF">
      <w:pPr>
        <w:ind w:left="360"/>
        <w:rPr>
          <w:b/>
          <w:szCs w:val="24"/>
        </w:rPr>
      </w:pPr>
    </w:p>
    <w:p w14:paraId="73473DC0" w14:textId="77777777" w:rsidR="009227CF" w:rsidRPr="00345C36" w:rsidRDefault="009227CF" w:rsidP="009227CF">
      <w:pPr>
        <w:widowControl/>
        <w:numPr>
          <w:ilvl w:val="0"/>
          <w:numId w:val="6"/>
        </w:numPr>
        <w:autoSpaceDE/>
        <w:autoSpaceDN/>
        <w:rPr>
          <w:b/>
          <w:szCs w:val="24"/>
        </w:rPr>
      </w:pPr>
      <w:r w:rsidRPr="00345C36">
        <w:rPr>
          <w:b/>
          <w:szCs w:val="24"/>
        </w:rPr>
        <w:t>Council Tax Reduction Schemes Caseloads</w:t>
      </w:r>
    </w:p>
    <w:p w14:paraId="0F18D242" w14:textId="77777777" w:rsidR="009227CF" w:rsidRPr="00345C36" w:rsidRDefault="009227CF" w:rsidP="009227CF">
      <w:r w:rsidRPr="00345C36">
        <w:t>For sites operating the Capita system please return cell HB9644</w:t>
      </w:r>
      <w:r w:rsidRPr="00345C36">
        <w:rPr>
          <w:color w:val="FF0000"/>
        </w:rPr>
        <w:t xml:space="preserve"> </w:t>
      </w:r>
      <w:r w:rsidRPr="00345C36">
        <w:t>– CTS Caseload Report For sites operating the Northgate system please return cell CTR304</w:t>
      </w:r>
      <w:r w:rsidRPr="00345C36">
        <w:rPr>
          <w:color w:val="FF0000"/>
        </w:rPr>
        <w:t xml:space="preserve"> </w:t>
      </w:r>
      <w:r w:rsidRPr="00345C36">
        <w:t>- CTR Caseload Extract.</w:t>
      </w:r>
    </w:p>
    <w:p w14:paraId="6A61E751" w14:textId="0B3E129D" w:rsidR="00E66895" w:rsidRDefault="00E66895" w:rsidP="009740A5"/>
    <w:p w14:paraId="77A60706" w14:textId="77777777" w:rsidR="00E640EA" w:rsidRPr="00E640EA" w:rsidRDefault="00E640EA" w:rsidP="009740A5"/>
    <w:p w14:paraId="3BC19C62" w14:textId="77777777" w:rsidR="009740A5" w:rsidRPr="00E640EA" w:rsidRDefault="009740A5" w:rsidP="009740A5">
      <w:pPr>
        <w:rPr>
          <w:b/>
          <w:snapToGrid w:val="0"/>
          <w:sz w:val="24"/>
          <w:szCs w:val="24"/>
        </w:rPr>
      </w:pPr>
      <w:r w:rsidRPr="00E640EA">
        <w:rPr>
          <w:b/>
          <w:snapToGrid w:val="0"/>
          <w:sz w:val="24"/>
          <w:szCs w:val="24"/>
        </w:rPr>
        <w:t>Ships</w:t>
      </w:r>
    </w:p>
    <w:p w14:paraId="0D99287B" w14:textId="77777777" w:rsidR="009740A5" w:rsidRPr="00E640EA" w:rsidRDefault="009740A5" w:rsidP="00E640EA"/>
    <w:p w14:paraId="47B2B819" w14:textId="227E5CDC" w:rsidR="009740A5" w:rsidRPr="00D00674" w:rsidRDefault="00345C36" w:rsidP="00FE262A">
      <w:pPr>
        <w:pStyle w:val="Heading2"/>
        <w:keepNext w:val="0"/>
        <w:keepLines w:val="0"/>
        <w:numPr>
          <w:ilvl w:val="0"/>
          <w:numId w:val="1"/>
        </w:numPr>
        <w:tabs>
          <w:tab w:val="left" w:pos="478"/>
          <w:tab w:val="left" w:pos="479"/>
        </w:tabs>
        <w:spacing w:before="0"/>
        <w:ind w:left="478"/>
        <w:rPr>
          <w:b/>
          <w:bCs/>
          <w:color w:val="44546A" w:themeColor="text2"/>
        </w:rPr>
      </w:pPr>
      <w:r w:rsidRPr="00D00674">
        <w:rPr>
          <w:b/>
          <w:bCs/>
          <w:color w:val="44546A" w:themeColor="text2"/>
        </w:rPr>
        <w:t xml:space="preserve">Ship arrivals at ports in </w:t>
      </w:r>
      <w:r w:rsidR="00F70BEC" w:rsidRPr="00D00674">
        <w:rPr>
          <w:b/>
          <w:bCs/>
          <w:color w:val="44546A" w:themeColor="text2"/>
        </w:rPr>
        <w:t>202</w:t>
      </w:r>
      <w:r w:rsidR="00895A4B" w:rsidRPr="00D00674">
        <w:rPr>
          <w:b/>
          <w:bCs/>
          <w:color w:val="44546A" w:themeColor="text2"/>
        </w:rPr>
        <w:t>2</w:t>
      </w:r>
      <w:r w:rsidR="009740A5" w:rsidRPr="00D00674">
        <w:rPr>
          <w:b/>
          <w:bCs/>
          <w:color w:val="44546A" w:themeColor="text2"/>
        </w:rPr>
        <w:t>.</w:t>
      </w:r>
    </w:p>
    <w:p w14:paraId="2E4D6083" w14:textId="77777777" w:rsidR="009740A5" w:rsidRPr="00345C36" w:rsidRDefault="009740A5" w:rsidP="009740A5">
      <w:pPr>
        <w:rPr>
          <w:szCs w:val="24"/>
        </w:rPr>
      </w:pPr>
    </w:p>
    <w:p w14:paraId="697C5BBA" w14:textId="54BA6B48" w:rsidR="009740A5" w:rsidRPr="00345C36" w:rsidRDefault="009740A5" w:rsidP="009740A5">
      <w:pPr>
        <w:adjustRightInd w:val="0"/>
        <w:rPr>
          <w:szCs w:val="24"/>
        </w:rPr>
      </w:pPr>
      <w:r w:rsidRPr="00345C36">
        <w:rPr>
          <w:szCs w:val="24"/>
        </w:rPr>
        <w:t xml:space="preserve">The data are supplied by </w:t>
      </w:r>
      <w:r w:rsidR="00CC2D0C" w:rsidRPr="00345C36">
        <w:rPr>
          <w:szCs w:val="24"/>
        </w:rPr>
        <w:t>the Department for Tr</w:t>
      </w:r>
      <w:r w:rsidR="00EC5D1C">
        <w:rPr>
          <w:szCs w:val="24"/>
        </w:rPr>
        <w:t>ansport’</w:t>
      </w:r>
      <w:r w:rsidR="00686AD0" w:rsidRPr="00345C36">
        <w:rPr>
          <w:szCs w:val="24"/>
        </w:rPr>
        <w:t>s Maritime statistics team.</w:t>
      </w:r>
    </w:p>
    <w:p w14:paraId="62D7DC1D" w14:textId="77777777" w:rsidR="009740A5" w:rsidRPr="00345C36" w:rsidRDefault="009740A5" w:rsidP="009740A5">
      <w:pPr>
        <w:adjustRightInd w:val="0"/>
        <w:rPr>
          <w:sz w:val="14"/>
          <w:szCs w:val="24"/>
        </w:rPr>
      </w:pPr>
    </w:p>
    <w:p w14:paraId="0E2433CF" w14:textId="2825F607" w:rsidR="009740A5" w:rsidRPr="00345C36" w:rsidRDefault="009740A5" w:rsidP="009740A5">
      <w:pPr>
        <w:adjustRightInd w:val="0"/>
        <w:rPr>
          <w:szCs w:val="24"/>
        </w:rPr>
      </w:pPr>
      <w:r w:rsidRPr="00345C36">
        <w:rPr>
          <w:szCs w:val="24"/>
        </w:rPr>
        <w:t>The arrivals recorded relate to movements of all sea-going vessels of 100 gross tonnes and over</w:t>
      </w:r>
      <w:r w:rsidR="000F4817">
        <w:rPr>
          <w:szCs w:val="24"/>
        </w:rPr>
        <w:t xml:space="preserve">.  </w:t>
      </w:r>
      <w:r w:rsidRPr="00345C36">
        <w:rPr>
          <w:szCs w:val="24"/>
        </w:rPr>
        <w:t>They include repeated voyages by the same vessel arriving at a port, whether or not for the loading or unloading of cargo</w:t>
      </w:r>
      <w:r w:rsidR="000F4817">
        <w:rPr>
          <w:szCs w:val="24"/>
        </w:rPr>
        <w:t xml:space="preserve">.  </w:t>
      </w:r>
      <w:r w:rsidRPr="00345C36">
        <w:rPr>
          <w:szCs w:val="24"/>
        </w:rPr>
        <w:t>They exclude vessels arriving at safe anchorages (because of bad weather or for instructions about the pick up or discharge of cargo elsewhere)</w:t>
      </w:r>
      <w:r w:rsidR="000F4817">
        <w:rPr>
          <w:szCs w:val="24"/>
        </w:rPr>
        <w:t xml:space="preserve">.  </w:t>
      </w:r>
      <w:r w:rsidRPr="00345C36">
        <w:rPr>
          <w:szCs w:val="24"/>
        </w:rPr>
        <w:t xml:space="preserve">They also exclude vessels moving within a port or an estuary, such as the </w:t>
      </w:r>
      <w:smartTag w:uri="urn:schemas-microsoft-com:office:smarttags" w:element="place">
        <w:r w:rsidRPr="00345C36">
          <w:rPr>
            <w:szCs w:val="24"/>
          </w:rPr>
          <w:t>Solent</w:t>
        </w:r>
      </w:smartTag>
      <w:r w:rsidRPr="00345C36">
        <w:rPr>
          <w:szCs w:val="24"/>
        </w:rPr>
        <w:t>.</w:t>
      </w:r>
    </w:p>
    <w:p w14:paraId="1DE43590" w14:textId="77777777" w:rsidR="009740A5" w:rsidRPr="00345C36" w:rsidRDefault="009740A5" w:rsidP="009740A5">
      <w:pPr>
        <w:adjustRightInd w:val="0"/>
        <w:rPr>
          <w:szCs w:val="24"/>
        </w:rPr>
      </w:pPr>
    </w:p>
    <w:p w14:paraId="56E792FA" w14:textId="77777777" w:rsidR="009740A5" w:rsidRPr="00345C36" w:rsidRDefault="009740A5" w:rsidP="009740A5">
      <w:pPr>
        <w:adjustRightInd w:val="0"/>
        <w:rPr>
          <w:szCs w:val="24"/>
        </w:rPr>
      </w:pPr>
      <w:r w:rsidRPr="00345C36">
        <w:rPr>
          <w:szCs w:val="24"/>
        </w:rPr>
        <w:t>The following vessels are also excluded from the statistics:</w:t>
      </w:r>
    </w:p>
    <w:p w14:paraId="0CFE6D78" w14:textId="77777777" w:rsidR="009740A5" w:rsidRPr="00345C36" w:rsidRDefault="009740A5" w:rsidP="009740A5">
      <w:pPr>
        <w:widowControl/>
        <w:numPr>
          <w:ilvl w:val="0"/>
          <w:numId w:val="7"/>
        </w:numPr>
        <w:adjustRightInd w:val="0"/>
        <w:rPr>
          <w:szCs w:val="24"/>
        </w:rPr>
      </w:pPr>
      <w:r w:rsidRPr="00345C36">
        <w:rPr>
          <w:szCs w:val="24"/>
        </w:rPr>
        <w:t>vessels of war and those carrying goods for government departments;</w:t>
      </w:r>
    </w:p>
    <w:p w14:paraId="17BA569C" w14:textId="77777777" w:rsidR="009740A5" w:rsidRPr="00345C36" w:rsidRDefault="009740A5" w:rsidP="009740A5">
      <w:pPr>
        <w:widowControl/>
        <w:numPr>
          <w:ilvl w:val="0"/>
          <w:numId w:val="7"/>
        </w:numPr>
        <w:adjustRightInd w:val="0"/>
        <w:rPr>
          <w:szCs w:val="24"/>
        </w:rPr>
      </w:pPr>
      <w:r w:rsidRPr="00345C36">
        <w:rPr>
          <w:szCs w:val="24"/>
        </w:rPr>
        <w:t>tugs and other vessels employed within the limit of the port or estuary;</w:t>
      </w:r>
    </w:p>
    <w:p w14:paraId="6299531F" w14:textId="77777777" w:rsidR="009740A5" w:rsidRPr="00345C36" w:rsidRDefault="009740A5" w:rsidP="009740A5">
      <w:pPr>
        <w:widowControl/>
        <w:numPr>
          <w:ilvl w:val="0"/>
          <w:numId w:val="7"/>
        </w:numPr>
        <w:adjustRightInd w:val="0"/>
        <w:rPr>
          <w:szCs w:val="24"/>
        </w:rPr>
      </w:pPr>
      <w:r w:rsidRPr="00345C36">
        <w:rPr>
          <w:szCs w:val="24"/>
        </w:rPr>
        <w:t>other dredgers, supply and support ships, and research vessels;</w:t>
      </w:r>
    </w:p>
    <w:p w14:paraId="2F16ABCC" w14:textId="77777777" w:rsidR="009740A5" w:rsidRPr="00345C36" w:rsidRDefault="009740A5" w:rsidP="009740A5">
      <w:pPr>
        <w:widowControl/>
        <w:numPr>
          <w:ilvl w:val="0"/>
          <w:numId w:val="7"/>
        </w:numPr>
        <w:adjustRightInd w:val="0"/>
        <w:rPr>
          <w:szCs w:val="24"/>
        </w:rPr>
      </w:pPr>
      <w:r w:rsidRPr="00345C36">
        <w:rPr>
          <w:szCs w:val="24"/>
        </w:rPr>
        <w:t>fishing vessels; pleasure yachts;</w:t>
      </w:r>
    </w:p>
    <w:p w14:paraId="13C97B4B" w14:textId="77777777" w:rsidR="009740A5" w:rsidRPr="00345C36" w:rsidRDefault="009740A5" w:rsidP="009740A5">
      <w:pPr>
        <w:widowControl/>
        <w:numPr>
          <w:ilvl w:val="0"/>
          <w:numId w:val="7"/>
        </w:numPr>
        <w:adjustRightInd w:val="0"/>
        <w:rPr>
          <w:szCs w:val="24"/>
        </w:rPr>
      </w:pPr>
      <w:r w:rsidRPr="00345C36">
        <w:rPr>
          <w:szCs w:val="24"/>
        </w:rPr>
        <w:t>vessels entering a port to land sick or injured crew members (where known).</w:t>
      </w:r>
    </w:p>
    <w:p w14:paraId="338B98FB" w14:textId="77777777" w:rsidR="009740A5" w:rsidRPr="00345C36" w:rsidRDefault="009740A5" w:rsidP="009740A5">
      <w:pPr>
        <w:adjustRightInd w:val="0"/>
        <w:rPr>
          <w:szCs w:val="24"/>
        </w:rPr>
      </w:pPr>
    </w:p>
    <w:p w14:paraId="0D789986" w14:textId="6280FD3D" w:rsidR="009740A5" w:rsidRPr="00345C36" w:rsidRDefault="009740A5" w:rsidP="009740A5">
      <w:pPr>
        <w:adjustRightInd w:val="0"/>
        <w:rPr>
          <w:snapToGrid w:val="0"/>
          <w:szCs w:val="24"/>
        </w:rPr>
      </w:pPr>
      <w:r w:rsidRPr="00345C36">
        <w:rPr>
          <w:szCs w:val="24"/>
        </w:rPr>
        <w:t>Ships, which carry containers, are only recorded as container vessels if they are fully cellular</w:t>
      </w:r>
      <w:r w:rsidR="000F4817">
        <w:rPr>
          <w:szCs w:val="24"/>
        </w:rPr>
        <w:t xml:space="preserve">.  </w:t>
      </w:r>
      <w:r w:rsidRPr="00345C36">
        <w:rPr>
          <w:szCs w:val="24"/>
        </w:rPr>
        <w:t>Other vessels that carry containers are recorded as ‘Other dry cargo vessels’ or ‘Ro-Ro vessels’ as appropriate</w:t>
      </w:r>
      <w:r w:rsidR="000F4817">
        <w:rPr>
          <w:szCs w:val="24"/>
        </w:rPr>
        <w:t xml:space="preserve">.  </w:t>
      </w:r>
      <w:r w:rsidRPr="00345C36">
        <w:rPr>
          <w:snapToGrid w:val="0"/>
          <w:szCs w:val="24"/>
        </w:rPr>
        <w:t>This data is available on the internet on the Gov Statistics website</w:t>
      </w:r>
      <w:r w:rsidR="000F4817">
        <w:rPr>
          <w:snapToGrid w:val="0"/>
          <w:szCs w:val="24"/>
        </w:rPr>
        <w:t xml:space="preserve">.  </w:t>
      </w:r>
      <w:r w:rsidRPr="00345C36">
        <w:rPr>
          <w:snapToGrid w:val="0"/>
          <w:szCs w:val="24"/>
        </w:rPr>
        <w:t xml:space="preserve">Table PORT0602 </w:t>
      </w:r>
      <w:r w:rsidR="00FD2A6E">
        <w:rPr>
          <w:snapToGrid w:val="0"/>
          <w:szCs w:val="24"/>
        </w:rPr>
        <w:t xml:space="preserve">on this </w:t>
      </w:r>
      <w:hyperlink r:id="rId10" w:history="1">
        <w:r w:rsidR="00FD2A6E" w:rsidRPr="00FD2A6E">
          <w:rPr>
            <w:rStyle w:val="Hyperlink"/>
            <w:snapToGrid w:val="0"/>
            <w:szCs w:val="24"/>
          </w:rPr>
          <w:t>webpage</w:t>
        </w:r>
      </w:hyperlink>
      <w:r w:rsidR="00FD2A6E" w:rsidRPr="00345C36">
        <w:rPr>
          <w:snapToGrid w:val="0"/>
          <w:szCs w:val="24"/>
        </w:rPr>
        <w:t xml:space="preserve"> </w:t>
      </w:r>
      <w:r w:rsidRPr="00345C36">
        <w:rPr>
          <w:snapToGrid w:val="0"/>
          <w:szCs w:val="24"/>
        </w:rPr>
        <w:t>provides the data for all ports in the UK</w:t>
      </w:r>
      <w:r w:rsidR="00FD2A6E">
        <w:rPr>
          <w:snapToGrid w:val="0"/>
          <w:szCs w:val="24"/>
        </w:rPr>
        <w:t>.</w:t>
      </w:r>
    </w:p>
    <w:p w14:paraId="66A64FF7" w14:textId="77777777" w:rsidR="009740A5" w:rsidRPr="00BF418A" w:rsidRDefault="009740A5" w:rsidP="009740A5">
      <w:pPr>
        <w:adjustRightInd w:val="0"/>
        <w:rPr>
          <w:snapToGrid w:val="0"/>
          <w:szCs w:val="24"/>
          <w:highlight w:val="yellow"/>
        </w:rPr>
      </w:pPr>
    </w:p>
    <w:p w14:paraId="39A96C86" w14:textId="77777777" w:rsidR="004E0EE7" w:rsidRPr="00345C36" w:rsidRDefault="004E0EE7" w:rsidP="00B53FAF">
      <w:pPr>
        <w:pStyle w:val="Heading1"/>
        <w:spacing w:before="70"/>
        <w:rPr>
          <w:b w:val="0"/>
        </w:rPr>
      </w:pPr>
    </w:p>
    <w:p w14:paraId="15D50DB5" w14:textId="62E776D0" w:rsidR="00B04B46" w:rsidRDefault="00B04B46" w:rsidP="00CC2D0C">
      <w:pPr>
        <w:rPr>
          <w:b/>
          <w:snapToGrid w:val="0"/>
          <w:szCs w:val="24"/>
        </w:rPr>
      </w:pPr>
    </w:p>
    <w:p w14:paraId="14604430" w14:textId="3F720FCD" w:rsidR="00CC2D0C" w:rsidRPr="000F3FDC" w:rsidRDefault="00CC2D0C" w:rsidP="00CC2D0C">
      <w:pPr>
        <w:rPr>
          <w:b/>
          <w:snapToGrid w:val="0"/>
          <w:szCs w:val="24"/>
        </w:rPr>
      </w:pPr>
      <w:r w:rsidRPr="000F3FDC">
        <w:rPr>
          <w:b/>
          <w:snapToGrid w:val="0"/>
          <w:szCs w:val="24"/>
        </w:rPr>
        <w:t>Claimant Count</w:t>
      </w:r>
    </w:p>
    <w:p w14:paraId="4C249697" w14:textId="77777777" w:rsidR="00CC2D0C" w:rsidRPr="00BF418A" w:rsidRDefault="00CC2D0C" w:rsidP="00CC2D0C">
      <w:pPr>
        <w:rPr>
          <w:highlight w:val="yellow"/>
        </w:rPr>
      </w:pPr>
    </w:p>
    <w:p w14:paraId="32B1FEB1" w14:textId="0ADEFB76" w:rsidR="00CC2D0C" w:rsidRPr="00D00674" w:rsidRDefault="00CC2D0C" w:rsidP="00CC2D0C">
      <w:pPr>
        <w:pStyle w:val="Heading2"/>
        <w:keepLines w:val="0"/>
        <w:widowControl/>
        <w:numPr>
          <w:ilvl w:val="0"/>
          <w:numId w:val="6"/>
        </w:numPr>
        <w:autoSpaceDE/>
        <w:autoSpaceDN/>
        <w:spacing w:before="0"/>
        <w:rPr>
          <w:b/>
          <w:bCs/>
          <w:color w:val="44546A" w:themeColor="text2"/>
        </w:rPr>
      </w:pPr>
      <w:r w:rsidRPr="00D00674">
        <w:rPr>
          <w:b/>
          <w:bCs/>
          <w:color w:val="44546A" w:themeColor="text2"/>
        </w:rPr>
        <w:t>Latest 1</w:t>
      </w:r>
      <w:r w:rsidR="00C1774B" w:rsidRPr="00D00674">
        <w:rPr>
          <w:b/>
          <w:bCs/>
          <w:color w:val="44546A" w:themeColor="text2"/>
        </w:rPr>
        <w:t>1</w:t>
      </w:r>
      <w:r w:rsidRPr="00D00674">
        <w:rPr>
          <w:b/>
          <w:bCs/>
          <w:color w:val="44546A" w:themeColor="text2"/>
        </w:rPr>
        <w:t xml:space="preserve"> month* Claimant Count (</w:t>
      </w:r>
      <w:r w:rsidR="00BF639B" w:rsidRPr="00D00674">
        <w:rPr>
          <w:b/>
          <w:bCs/>
          <w:color w:val="44546A" w:themeColor="text2"/>
        </w:rPr>
        <w:t>October</w:t>
      </w:r>
      <w:r w:rsidR="00FC318C" w:rsidRPr="00D00674">
        <w:rPr>
          <w:b/>
          <w:bCs/>
          <w:color w:val="44546A" w:themeColor="text2"/>
        </w:rPr>
        <w:t xml:space="preserve"> </w:t>
      </w:r>
      <w:r w:rsidR="006C4B87" w:rsidRPr="00D00674">
        <w:rPr>
          <w:b/>
          <w:bCs/>
          <w:color w:val="44546A" w:themeColor="text2"/>
        </w:rPr>
        <w:t>2022 to August 2023</w:t>
      </w:r>
      <w:r w:rsidRPr="00D00674">
        <w:rPr>
          <w:b/>
          <w:bCs/>
          <w:color w:val="44546A" w:themeColor="text2"/>
        </w:rPr>
        <w:t>)</w:t>
      </w:r>
    </w:p>
    <w:p w14:paraId="71848BFD" w14:textId="77777777" w:rsidR="00CC2D0C" w:rsidRPr="00F50C4B" w:rsidRDefault="00CC2D0C" w:rsidP="00CC2D0C"/>
    <w:p w14:paraId="04FB51E3" w14:textId="4782CC54" w:rsidR="00CC2D0C" w:rsidRPr="00F50C4B" w:rsidRDefault="00CC2D0C" w:rsidP="00CC2D0C">
      <w:pPr>
        <w:rPr>
          <w:szCs w:val="24"/>
        </w:rPr>
      </w:pPr>
      <w:r w:rsidRPr="00F50C4B">
        <w:rPr>
          <w:szCs w:val="24"/>
        </w:rPr>
        <w:t>The Claimant Count measures the number of people claiming benefits principally for the reason of being unemployed</w:t>
      </w:r>
      <w:r w:rsidR="000F4817">
        <w:rPr>
          <w:szCs w:val="24"/>
        </w:rPr>
        <w:t xml:space="preserve">.  </w:t>
      </w:r>
      <w:r w:rsidRPr="00F50C4B">
        <w:rPr>
          <w:szCs w:val="24"/>
        </w:rPr>
        <w:t xml:space="preserve">Further information can be found </w:t>
      </w:r>
      <w:r w:rsidR="00407984">
        <w:rPr>
          <w:szCs w:val="24"/>
        </w:rPr>
        <w:t xml:space="preserve">on </w:t>
      </w:r>
      <w:bookmarkStart w:id="5" w:name="_Hlk116586689"/>
      <w:r w:rsidR="00407984">
        <w:rPr>
          <w:szCs w:val="24"/>
        </w:rPr>
        <w:fldChar w:fldCharType="begin"/>
      </w:r>
      <w:r w:rsidR="00407984">
        <w:rPr>
          <w:szCs w:val="24"/>
        </w:rPr>
        <w:instrText xml:space="preserve"> HYPERLINK "https://www.nomisweb.co.uk/default.asp" </w:instrText>
      </w:r>
      <w:r w:rsidR="00407984">
        <w:rPr>
          <w:szCs w:val="24"/>
        </w:rPr>
      </w:r>
      <w:r w:rsidR="00407984">
        <w:rPr>
          <w:szCs w:val="24"/>
        </w:rPr>
        <w:fldChar w:fldCharType="separate"/>
      </w:r>
      <w:proofErr w:type="spellStart"/>
      <w:r w:rsidR="00407984" w:rsidRPr="00407984">
        <w:rPr>
          <w:rStyle w:val="Hyperlink"/>
          <w:szCs w:val="24"/>
        </w:rPr>
        <w:t>Nomisweb</w:t>
      </w:r>
      <w:proofErr w:type="spellEnd"/>
      <w:r w:rsidR="00407984">
        <w:rPr>
          <w:szCs w:val="24"/>
        </w:rPr>
        <w:fldChar w:fldCharType="end"/>
      </w:r>
      <w:r w:rsidR="00407984">
        <w:rPr>
          <w:szCs w:val="24"/>
        </w:rPr>
        <w:t>.</w:t>
      </w:r>
      <w:bookmarkEnd w:id="5"/>
    </w:p>
    <w:p w14:paraId="47F93C33" w14:textId="77777777" w:rsidR="00CC2D0C" w:rsidRPr="00F50C4B" w:rsidRDefault="00CC2D0C" w:rsidP="00CC2D0C">
      <w:pPr>
        <w:rPr>
          <w:szCs w:val="24"/>
        </w:rPr>
      </w:pPr>
    </w:p>
    <w:p w14:paraId="3F874E30" w14:textId="0496B0E1" w:rsidR="00CC2D0C" w:rsidRPr="00F50C4B" w:rsidRDefault="00124568" w:rsidP="00CC2D0C">
      <w:pPr>
        <w:rPr>
          <w:szCs w:val="24"/>
        </w:rPr>
      </w:pPr>
      <w:hyperlink w:anchor="ClaimantCount" w:history="1">
        <w:r w:rsidR="00CC2D0C" w:rsidRPr="00D26E9D">
          <w:rPr>
            <w:rStyle w:val="Hyperlink"/>
            <w:szCs w:val="24"/>
          </w:rPr>
          <w:t xml:space="preserve">Annex </w:t>
        </w:r>
        <w:r w:rsidR="00A54081" w:rsidRPr="00D26E9D">
          <w:rPr>
            <w:rStyle w:val="Hyperlink"/>
            <w:szCs w:val="24"/>
          </w:rPr>
          <w:t>B</w:t>
        </w:r>
      </w:hyperlink>
      <w:r w:rsidR="00CC2D0C" w:rsidRPr="00D26E9D">
        <w:rPr>
          <w:szCs w:val="24"/>
        </w:rPr>
        <w:t xml:space="preserve"> </w:t>
      </w:r>
      <w:r w:rsidR="00C1774B">
        <w:rPr>
          <w:szCs w:val="24"/>
        </w:rPr>
        <w:t>explains how to obtain latest 11</w:t>
      </w:r>
      <w:r w:rsidR="00CC2D0C" w:rsidRPr="00D26E9D">
        <w:rPr>
          <w:szCs w:val="24"/>
        </w:rPr>
        <w:t xml:space="preserve"> month Claimant Count data from NOMIS.</w:t>
      </w:r>
    </w:p>
    <w:p w14:paraId="44CF633A" w14:textId="77777777" w:rsidR="00CC2D0C" w:rsidRPr="00F965FD" w:rsidRDefault="00CC2D0C" w:rsidP="00CC2D0C">
      <w:pPr>
        <w:rPr>
          <w:szCs w:val="24"/>
        </w:rPr>
      </w:pPr>
    </w:p>
    <w:p w14:paraId="097EBF43" w14:textId="77777777" w:rsidR="00CC2D0C" w:rsidRPr="00F965FD" w:rsidRDefault="00CC2D0C" w:rsidP="00CC2D0C">
      <w:pPr>
        <w:rPr>
          <w:b/>
          <w:snapToGrid w:val="0"/>
          <w:sz w:val="24"/>
          <w:szCs w:val="24"/>
        </w:rPr>
      </w:pPr>
      <w:r w:rsidRPr="00F965FD">
        <w:rPr>
          <w:b/>
          <w:sz w:val="24"/>
          <w:szCs w:val="24"/>
        </w:rPr>
        <w:t>Department for Work and Pensions (</w:t>
      </w:r>
      <w:r w:rsidRPr="00F965FD">
        <w:rPr>
          <w:b/>
          <w:snapToGrid w:val="0"/>
          <w:sz w:val="24"/>
          <w:szCs w:val="24"/>
        </w:rPr>
        <w:t>DWP) Benefit Claimants</w:t>
      </w:r>
    </w:p>
    <w:p w14:paraId="5E7C2A41" w14:textId="77777777" w:rsidR="00CC2D0C" w:rsidRPr="00F965FD" w:rsidRDefault="00CC2D0C" w:rsidP="00CC2D0C">
      <w:pPr>
        <w:rPr>
          <w:snapToGrid w:val="0"/>
          <w:color w:val="FF0000"/>
          <w:szCs w:val="24"/>
        </w:rPr>
      </w:pPr>
    </w:p>
    <w:p w14:paraId="5C6DF34D" w14:textId="77777777" w:rsidR="00CC2D0C" w:rsidRPr="00F965FD" w:rsidRDefault="00CC2D0C" w:rsidP="00CC2D0C">
      <w:pPr>
        <w:rPr>
          <w:b/>
          <w:snapToGrid w:val="0"/>
          <w:szCs w:val="24"/>
        </w:rPr>
      </w:pPr>
      <w:r w:rsidRPr="00F965FD">
        <w:rPr>
          <w:b/>
          <w:snapToGrid w:val="0"/>
          <w:szCs w:val="24"/>
        </w:rPr>
        <w:t>Income Support, Job Seekers Allowance, Pension Credit claimants and people on Universal Credit (not in employment)</w:t>
      </w:r>
    </w:p>
    <w:p w14:paraId="011BBC33" w14:textId="77777777" w:rsidR="00CC2D0C" w:rsidRPr="00F965FD" w:rsidRDefault="00CC2D0C" w:rsidP="00CC2D0C">
      <w:pPr>
        <w:rPr>
          <w:snapToGrid w:val="0"/>
          <w:color w:val="FF0000"/>
          <w:szCs w:val="24"/>
        </w:rPr>
      </w:pPr>
    </w:p>
    <w:p w14:paraId="200FA13C"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r w:rsidRPr="00D00674">
        <w:rPr>
          <w:b/>
          <w:bCs/>
          <w:color w:val="44546A" w:themeColor="text2"/>
        </w:rPr>
        <w:t>Number of Income Support Claimants, Income Based Jobseeker's Allowance Recipients, Pension Credit Claimants, aged 18-64</w:t>
      </w:r>
    </w:p>
    <w:p w14:paraId="12A930D3" w14:textId="77777777" w:rsidR="00CC2D0C" w:rsidRPr="00F965FD" w:rsidRDefault="00CC2D0C" w:rsidP="00CC2D0C">
      <w:pPr>
        <w:rPr>
          <w:snapToGrid w:val="0"/>
          <w:szCs w:val="24"/>
        </w:rPr>
      </w:pPr>
    </w:p>
    <w:p w14:paraId="7FC2CC34" w14:textId="1E025A1A" w:rsidR="00CC2D0C" w:rsidRPr="00F965FD" w:rsidRDefault="00CC2D0C" w:rsidP="00CC2D0C">
      <w:pPr>
        <w:rPr>
          <w:snapToGrid w:val="0"/>
          <w:szCs w:val="24"/>
        </w:rPr>
      </w:pPr>
      <w:r w:rsidRPr="00F965FD">
        <w:rPr>
          <w:snapToGrid w:val="0"/>
          <w:szCs w:val="24"/>
        </w:rPr>
        <w:t xml:space="preserve">Figures derived centrally by the DWP from a 100% sample of claimants' records for income support and pension credit and 5% sample for jobseeker’s allowance and relate to the four quarters from </w:t>
      </w:r>
      <w:r w:rsidR="00C4407F">
        <w:rPr>
          <w:b/>
          <w:snapToGrid w:val="0"/>
          <w:szCs w:val="24"/>
        </w:rPr>
        <w:t xml:space="preserve">May </w:t>
      </w:r>
      <w:r w:rsidR="00F70BEC">
        <w:rPr>
          <w:b/>
          <w:snapToGrid w:val="0"/>
          <w:szCs w:val="24"/>
        </w:rPr>
        <w:t>202</w:t>
      </w:r>
      <w:r w:rsidR="001F591D">
        <w:rPr>
          <w:b/>
          <w:snapToGrid w:val="0"/>
          <w:szCs w:val="24"/>
        </w:rPr>
        <w:t>2</w:t>
      </w:r>
      <w:r w:rsidRPr="00F965FD">
        <w:rPr>
          <w:b/>
          <w:snapToGrid w:val="0"/>
          <w:szCs w:val="24"/>
        </w:rPr>
        <w:t xml:space="preserve"> </w:t>
      </w:r>
      <w:r w:rsidRPr="00F965FD">
        <w:rPr>
          <w:snapToGrid w:val="0"/>
          <w:szCs w:val="24"/>
        </w:rPr>
        <w:t>to</w:t>
      </w:r>
      <w:r w:rsidR="00F965FD" w:rsidRPr="00F965FD">
        <w:rPr>
          <w:b/>
          <w:snapToGrid w:val="0"/>
          <w:szCs w:val="24"/>
        </w:rPr>
        <w:t xml:space="preserve"> February </w:t>
      </w:r>
      <w:r w:rsidR="00F70BEC">
        <w:rPr>
          <w:b/>
          <w:snapToGrid w:val="0"/>
          <w:szCs w:val="24"/>
        </w:rPr>
        <w:t>202</w:t>
      </w:r>
      <w:r w:rsidR="001F591D">
        <w:rPr>
          <w:b/>
          <w:snapToGrid w:val="0"/>
          <w:szCs w:val="24"/>
        </w:rPr>
        <w:t>3</w:t>
      </w:r>
      <w:r w:rsidR="000F4817">
        <w:rPr>
          <w:b/>
          <w:snapToGrid w:val="0"/>
          <w:szCs w:val="24"/>
        </w:rPr>
        <w:t xml:space="preserve">.  </w:t>
      </w:r>
      <w:r w:rsidRPr="00F965FD">
        <w:rPr>
          <w:snapToGrid w:val="0"/>
          <w:szCs w:val="24"/>
        </w:rPr>
        <w:t xml:space="preserve">Data obtained via </w:t>
      </w:r>
      <w:hyperlink r:id="rId11" w:history="1">
        <w:r w:rsidR="00C25E1B" w:rsidRPr="00F965FD">
          <w:t>Stat-Xplore</w:t>
        </w:r>
      </w:hyperlink>
      <w:r w:rsidRPr="00F965FD">
        <w:rPr>
          <w:snapToGrid w:val="0"/>
          <w:szCs w:val="24"/>
        </w:rPr>
        <w:t>.</w:t>
      </w:r>
    </w:p>
    <w:p w14:paraId="6F20DC43" w14:textId="77777777" w:rsidR="00CC2D0C" w:rsidRPr="00BF418A" w:rsidRDefault="00CC2D0C" w:rsidP="00CC2D0C">
      <w:pPr>
        <w:rPr>
          <w:snapToGrid w:val="0"/>
          <w:szCs w:val="24"/>
          <w:highlight w:val="yellow"/>
        </w:rPr>
      </w:pPr>
    </w:p>
    <w:p w14:paraId="5AAEF830"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r w:rsidRPr="00D00674">
        <w:rPr>
          <w:b/>
          <w:bCs/>
          <w:color w:val="44546A" w:themeColor="text2"/>
        </w:rPr>
        <w:t>Number of people on Universal Credit (not in Employment), aged 18-64</w:t>
      </w:r>
    </w:p>
    <w:p w14:paraId="05744167" w14:textId="77777777" w:rsidR="00CC2D0C" w:rsidRPr="00F965FD" w:rsidRDefault="00CC2D0C" w:rsidP="00CC2D0C">
      <w:pPr>
        <w:rPr>
          <w:snapToGrid w:val="0"/>
          <w:szCs w:val="24"/>
        </w:rPr>
      </w:pPr>
    </w:p>
    <w:p w14:paraId="57FDB87A" w14:textId="0E7436C0" w:rsidR="00CC2D0C" w:rsidRPr="00F965FD" w:rsidRDefault="00CC2D0C" w:rsidP="00CC2D0C">
      <w:pPr>
        <w:rPr>
          <w:b/>
          <w:snapToGrid w:val="0"/>
          <w:szCs w:val="24"/>
        </w:rPr>
      </w:pPr>
      <w:r w:rsidRPr="00F965FD">
        <w:rPr>
          <w:snapToGrid w:val="0"/>
          <w:szCs w:val="24"/>
        </w:rPr>
        <w:t xml:space="preserve">Figures derived centrally by the DWP from a 100% sample of Universal Credit (not in employment) claimants' records and relate to the four quarters from </w:t>
      </w:r>
      <w:r w:rsidR="00780917">
        <w:rPr>
          <w:b/>
          <w:snapToGrid w:val="0"/>
          <w:szCs w:val="24"/>
        </w:rPr>
        <w:t xml:space="preserve">May </w:t>
      </w:r>
      <w:r w:rsidR="00F70BEC">
        <w:rPr>
          <w:b/>
          <w:snapToGrid w:val="0"/>
          <w:szCs w:val="24"/>
        </w:rPr>
        <w:t>202</w:t>
      </w:r>
      <w:r w:rsidR="001F591D">
        <w:rPr>
          <w:b/>
          <w:snapToGrid w:val="0"/>
          <w:szCs w:val="24"/>
        </w:rPr>
        <w:t>2</w:t>
      </w:r>
      <w:r w:rsidRPr="00F965FD">
        <w:rPr>
          <w:b/>
          <w:snapToGrid w:val="0"/>
          <w:szCs w:val="24"/>
        </w:rPr>
        <w:t xml:space="preserve"> </w:t>
      </w:r>
      <w:r w:rsidRPr="00F965FD">
        <w:rPr>
          <w:snapToGrid w:val="0"/>
          <w:szCs w:val="24"/>
        </w:rPr>
        <w:t>to</w:t>
      </w:r>
      <w:r w:rsidR="00F965FD" w:rsidRPr="00F965FD">
        <w:rPr>
          <w:b/>
          <w:snapToGrid w:val="0"/>
          <w:szCs w:val="24"/>
        </w:rPr>
        <w:t xml:space="preserve"> February </w:t>
      </w:r>
      <w:r w:rsidR="00F70BEC">
        <w:rPr>
          <w:b/>
          <w:snapToGrid w:val="0"/>
          <w:szCs w:val="24"/>
        </w:rPr>
        <w:t>202</w:t>
      </w:r>
      <w:r w:rsidR="001F591D">
        <w:rPr>
          <w:b/>
          <w:snapToGrid w:val="0"/>
          <w:szCs w:val="24"/>
        </w:rPr>
        <w:t>3</w:t>
      </w:r>
      <w:r w:rsidR="000F4817">
        <w:rPr>
          <w:b/>
          <w:snapToGrid w:val="0"/>
          <w:szCs w:val="24"/>
        </w:rPr>
        <w:t xml:space="preserve">.  </w:t>
      </w:r>
      <w:r w:rsidRPr="00F965FD">
        <w:rPr>
          <w:snapToGrid w:val="0"/>
          <w:szCs w:val="24"/>
        </w:rPr>
        <w:t>Data obtained via Stat-Xplore.</w:t>
      </w:r>
    </w:p>
    <w:p w14:paraId="3B9AF2AB" w14:textId="77777777" w:rsidR="00CC2D0C" w:rsidRPr="00F965FD" w:rsidRDefault="00CC2D0C" w:rsidP="00CC2D0C">
      <w:pPr>
        <w:rPr>
          <w:snapToGrid w:val="0"/>
          <w:szCs w:val="24"/>
        </w:rPr>
      </w:pPr>
    </w:p>
    <w:p w14:paraId="425C5580"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bookmarkStart w:id="6" w:name="OLE_LINK3"/>
      <w:r w:rsidRPr="00D00674">
        <w:rPr>
          <w:b/>
          <w:bCs/>
          <w:color w:val="44546A" w:themeColor="text2"/>
        </w:rPr>
        <w:t xml:space="preserve">Number of Pension Credit </w:t>
      </w:r>
      <w:proofErr w:type="gramStart"/>
      <w:r w:rsidRPr="00D00674">
        <w:rPr>
          <w:b/>
          <w:bCs/>
          <w:color w:val="44546A" w:themeColor="text2"/>
        </w:rPr>
        <w:t>Claimants  Aged</w:t>
      </w:r>
      <w:proofErr w:type="gramEnd"/>
      <w:r w:rsidRPr="00D00674">
        <w:rPr>
          <w:b/>
          <w:bCs/>
          <w:color w:val="44546A" w:themeColor="text2"/>
        </w:rPr>
        <w:t xml:space="preserve"> 65+</w:t>
      </w:r>
    </w:p>
    <w:p w14:paraId="6B48DEFF" w14:textId="77777777" w:rsidR="00CC2D0C" w:rsidRPr="00F965FD" w:rsidRDefault="00CC2D0C" w:rsidP="00CC2D0C">
      <w:pPr>
        <w:rPr>
          <w:snapToGrid w:val="0"/>
          <w:szCs w:val="24"/>
        </w:rPr>
      </w:pPr>
    </w:p>
    <w:p w14:paraId="659FD21F" w14:textId="4C3B670A" w:rsidR="00CC2D0C" w:rsidRPr="000662E9" w:rsidRDefault="00CC2D0C" w:rsidP="00CC2D0C">
      <w:pPr>
        <w:rPr>
          <w:b/>
          <w:snapToGrid w:val="0"/>
          <w:szCs w:val="24"/>
        </w:rPr>
      </w:pPr>
      <w:r w:rsidRPr="00F965FD">
        <w:rPr>
          <w:snapToGrid w:val="0"/>
          <w:szCs w:val="24"/>
        </w:rPr>
        <w:t xml:space="preserve">Figures derived centrally by the DWP from a 100% sample of claimants' records </w:t>
      </w:r>
      <w:bookmarkEnd w:id="6"/>
      <w:r w:rsidRPr="00F965FD">
        <w:rPr>
          <w:snapToGrid w:val="0"/>
          <w:szCs w:val="24"/>
        </w:rPr>
        <w:t xml:space="preserve">and relate to the </w:t>
      </w:r>
      <w:r w:rsidRPr="000662E9">
        <w:rPr>
          <w:snapToGrid w:val="0"/>
          <w:szCs w:val="24"/>
        </w:rPr>
        <w:t xml:space="preserve">four quarters from </w:t>
      </w:r>
      <w:r w:rsidR="00780917">
        <w:rPr>
          <w:b/>
          <w:snapToGrid w:val="0"/>
          <w:szCs w:val="24"/>
        </w:rPr>
        <w:t xml:space="preserve">May </w:t>
      </w:r>
      <w:r w:rsidR="00F70BEC">
        <w:rPr>
          <w:b/>
          <w:snapToGrid w:val="0"/>
          <w:szCs w:val="24"/>
        </w:rPr>
        <w:t>202</w:t>
      </w:r>
      <w:r w:rsidR="001F591D">
        <w:rPr>
          <w:b/>
          <w:snapToGrid w:val="0"/>
          <w:szCs w:val="24"/>
        </w:rPr>
        <w:t>2</w:t>
      </w:r>
      <w:r w:rsidRPr="000662E9">
        <w:rPr>
          <w:b/>
          <w:snapToGrid w:val="0"/>
          <w:szCs w:val="24"/>
        </w:rPr>
        <w:t xml:space="preserve"> </w:t>
      </w:r>
      <w:r w:rsidRPr="000662E9">
        <w:rPr>
          <w:snapToGrid w:val="0"/>
          <w:szCs w:val="24"/>
        </w:rPr>
        <w:t>to</w:t>
      </w:r>
      <w:r w:rsidRPr="000662E9">
        <w:rPr>
          <w:b/>
          <w:snapToGrid w:val="0"/>
          <w:szCs w:val="24"/>
        </w:rPr>
        <w:t xml:space="preserve"> Febr</w:t>
      </w:r>
      <w:r w:rsidR="00780917">
        <w:rPr>
          <w:b/>
          <w:snapToGrid w:val="0"/>
          <w:szCs w:val="24"/>
        </w:rPr>
        <w:t xml:space="preserve">uary </w:t>
      </w:r>
      <w:r w:rsidR="00F70BEC">
        <w:rPr>
          <w:b/>
          <w:snapToGrid w:val="0"/>
          <w:szCs w:val="24"/>
        </w:rPr>
        <w:t>202</w:t>
      </w:r>
      <w:r w:rsidR="001F591D">
        <w:rPr>
          <w:b/>
          <w:snapToGrid w:val="0"/>
          <w:szCs w:val="24"/>
        </w:rPr>
        <w:t>3</w:t>
      </w:r>
      <w:r w:rsidR="000F4817">
        <w:rPr>
          <w:b/>
          <w:snapToGrid w:val="0"/>
          <w:szCs w:val="24"/>
        </w:rPr>
        <w:t xml:space="preserve">.  </w:t>
      </w:r>
      <w:r w:rsidRPr="000662E9">
        <w:rPr>
          <w:snapToGrid w:val="0"/>
          <w:szCs w:val="24"/>
        </w:rPr>
        <w:t xml:space="preserve">Data obtained via </w:t>
      </w:r>
      <w:hyperlink r:id="rId12" w:history="1">
        <w:r w:rsidR="00C25E1B" w:rsidRPr="000662E9">
          <w:t>Stat-Xplore</w:t>
        </w:r>
      </w:hyperlink>
      <w:r w:rsidRPr="000662E9">
        <w:rPr>
          <w:snapToGrid w:val="0"/>
          <w:szCs w:val="24"/>
        </w:rPr>
        <w:t>.</w:t>
      </w:r>
    </w:p>
    <w:p w14:paraId="3F4CE845" w14:textId="77777777" w:rsidR="00CC2D0C" w:rsidRPr="000662E9" w:rsidRDefault="00CC2D0C" w:rsidP="00CC2D0C">
      <w:pPr>
        <w:rPr>
          <w:snapToGrid w:val="0"/>
          <w:szCs w:val="24"/>
        </w:rPr>
      </w:pPr>
    </w:p>
    <w:p w14:paraId="04778652"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r w:rsidRPr="00D00674">
        <w:rPr>
          <w:b/>
          <w:bCs/>
          <w:color w:val="44546A" w:themeColor="text2"/>
        </w:rPr>
        <w:t xml:space="preserve">Total Number of Income Support Claimants, Income Based Jobseeker's Allowance Recipients, Pension Credit </w:t>
      </w:r>
      <w:proofErr w:type="gramStart"/>
      <w:r w:rsidRPr="00D00674">
        <w:rPr>
          <w:b/>
          <w:bCs/>
          <w:color w:val="44546A" w:themeColor="text2"/>
        </w:rPr>
        <w:t>Claimants</w:t>
      </w:r>
      <w:proofErr w:type="gramEnd"/>
      <w:r w:rsidRPr="00D00674">
        <w:rPr>
          <w:b/>
          <w:bCs/>
          <w:color w:val="44546A" w:themeColor="text2"/>
        </w:rPr>
        <w:t xml:space="preserve"> or people on Universal Credit (not in Employment)</w:t>
      </w:r>
    </w:p>
    <w:p w14:paraId="7868B6CD" w14:textId="77777777" w:rsidR="00CC2D0C" w:rsidRPr="000662E9" w:rsidRDefault="00CC2D0C" w:rsidP="00CC2D0C">
      <w:pPr>
        <w:rPr>
          <w:snapToGrid w:val="0"/>
          <w:szCs w:val="24"/>
        </w:rPr>
      </w:pPr>
    </w:p>
    <w:p w14:paraId="6439CD75" w14:textId="7395F248" w:rsidR="00CC2D0C" w:rsidRPr="000662E9" w:rsidRDefault="00CC2D0C" w:rsidP="00CC2D0C">
      <w:pPr>
        <w:rPr>
          <w:b/>
          <w:snapToGrid w:val="0"/>
          <w:szCs w:val="24"/>
        </w:rPr>
      </w:pPr>
      <w:r w:rsidRPr="000662E9">
        <w:rPr>
          <w:snapToGrid w:val="0"/>
          <w:szCs w:val="24"/>
        </w:rPr>
        <w:t xml:space="preserve">Figures derived centrally by the DWP from a 100% sample of claimants' records for income support and pension credit and 5% sample for jobseeker’s allowance and relate to the four quarters from </w:t>
      </w:r>
      <w:r w:rsidR="00780917">
        <w:rPr>
          <w:b/>
          <w:snapToGrid w:val="0"/>
          <w:szCs w:val="24"/>
        </w:rPr>
        <w:t xml:space="preserve">May </w:t>
      </w:r>
      <w:r w:rsidR="00F70BEC">
        <w:rPr>
          <w:b/>
          <w:snapToGrid w:val="0"/>
          <w:szCs w:val="24"/>
        </w:rPr>
        <w:t>202</w:t>
      </w:r>
      <w:r w:rsidR="001F591D">
        <w:rPr>
          <w:b/>
          <w:snapToGrid w:val="0"/>
          <w:szCs w:val="24"/>
        </w:rPr>
        <w:t>2</w:t>
      </w:r>
      <w:r w:rsidR="000662E9" w:rsidRPr="000662E9">
        <w:rPr>
          <w:b/>
          <w:snapToGrid w:val="0"/>
          <w:szCs w:val="24"/>
        </w:rPr>
        <w:t xml:space="preserve"> to February </w:t>
      </w:r>
      <w:r w:rsidR="00F70BEC">
        <w:rPr>
          <w:b/>
          <w:snapToGrid w:val="0"/>
          <w:szCs w:val="24"/>
        </w:rPr>
        <w:t>202</w:t>
      </w:r>
      <w:r w:rsidR="001F591D">
        <w:rPr>
          <w:b/>
          <w:snapToGrid w:val="0"/>
          <w:szCs w:val="24"/>
        </w:rPr>
        <w:t>3</w:t>
      </w:r>
      <w:r w:rsidR="000F4817">
        <w:rPr>
          <w:b/>
          <w:snapToGrid w:val="0"/>
          <w:szCs w:val="24"/>
        </w:rPr>
        <w:t xml:space="preserve">.  </w:t>
      </w:r>
      <w:r w:rsidRPr="000662E9">
        <w:rPr>
          <w:snapToGrid w:val="0"/>
          <w:szCs w:val="24"/>
        </w:rPr>
        <w:t>Data obtained</w:t>
      </w:r>
      <w:r w:rsidR="00C25E1B" w:rsidRPr="000662E9">
        <w:rPr>
          <w:snapToGrid w:val="0"/>
          <w:szCs w:val="24"/>
        </w:rPr>
        <w:t xml:space="preserve"> </w:t>
      </w:r>
      <w:hyperlink r:id="rId13" w:history="1">
        <w:r w:rsidR="00C25E1B" w:rsidRPr="000662E9">
          <w:t>Stat-Xplore</w:t>
        </w:r>
      </w:hyperlink>
      <w:r w:rsidRPr="000662E9">
        <w:rPr>
          <w:snapToGrid w:val="0"/>
          <w:szCs w:val="24"/>
        </w:rPr>
        <w:t>.</w:t>
      </w:r>
    </w:p>
    <w:p w14:paraId="188BEC6E" w14:textId="77777777" w:rsidR="00CC2D0C" w:rsidRPr="00BF418A" w:rsidRDefault="00CC2D0C" w:rsidP="00CC2D0C">
      <w:pPr>
        <w:rPr>
          <w:b/>
          <w:snapToGrid w:val="0"/>
          <w:szCs w:val="24"/>
          <w:highlight w:val="yellow"/>
          <w:u w:val="single"/>
        </w:rPr>
      </w:pPr>
    </w:p>
    <w:p w14:paraId="4AF9F327"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r w:rsidRPr="00D00674">
        <w:rPr>
          <w:b/>
          <w:bCs/>
          <w:color w:val="44546A" w:themeColor="text2"/>
        </w:rPr>
        <w:t>Total number of people on Universal Credit (not in Employment)</w:t>
      </w:r>
    </w:p>
    <w:p w14:paraId="71F20C09" w14:textId="77777777" w:rsidR="00CC2D0C" w:rsidRPr="000662E9" w:rsidRDefault="00CC2D0C" w:rsidP="00CC2D0C">
      <w:pPr>
        <w:rPr>
          <w:snapToGrid w:val="0"/>
          <w:szCs w:val="24"/>
        </w:rPr>
      </w:pPr>
    </w:p>
    <w:p w14:paraId="6DC4B28C" w14:textId="000348A7" w:rsidR="00CC2D0C" w:rsidRPr="000662E9" w:rsidRDefault="00CC2D0C" w:rsidP="00CC2D0C">
      <w:pPr>
        <w:rPr>
          <w:b/>
          <w:snapToGrid w:val="0"/>
          <w:szCs w:val="24"/>
        </w:rPr>
      </w:pPr>
      <w:r w:rsidRPr="000662E9">
        <w:rPr>
          <w:snapToGrid w:val="0"/>
          <w:szCs w:val="24"/>
        </w:rPr>
        <w:t xml:space="preserve">Figures derived centrally by the DWP from a 100% sample of Universal Credit (not in employment) claimants' records and relate to the four quarters from </w:t>
      </w:r>
      <w:r w:rsidR="00780917">
        <w:rPr>
          <w:b/>
          <w:snapToGrid w:val="0"/>
          <w:szCs w:val="24"/>
        </w:rPr>
        <w:t xml:space="preserve">May </w:t>
      </w:r>
      <w:r w:rsidR="00F70BEC">
        <w:rPr>
          <w:b/>
          <w:snapToGrid w:val="0"/>
          <w:szCs w:val="24"/>
        </w:rPr>
        <w:t>202</w:t>
      </w:r>
      <w:r w:rsidR="001F591D">
        <w:rPr>
          <w:b/>
          <w:snapToGrid w:val="0"/>
          <w:szCs w:val="24"/>
        </w:rPr>
        <w:t>2</w:t>
      </w:r>
      <w:r w:rsidRPr="000662E9">
        <w:rPr>
          <w:b/>
          <w:snapToGrid w:val="0"/>
          <w:szCs w:val="24"/>
        </w:rPr>
        <w:t xml:space="preserve"> </w:t>
      </w:r>
      <w:r w:rsidRPr="000662E9">
        <w:rPr>
          <w:snapToGrid w:val="0"/>
          <w:szCs w:val="24"/>
        </w:rPr>
        <w:t>to</w:t>
      </w:r>
      <w:r w:rsidR="00780917">
        <w:rPr>
          <w:b/>
          <w:snapToGrid w:val="0"/>
          <w:szCs w:val="24"/>
        </w:rPr>
        <w:t xml:space="preserve"> February </w:t>
      </w:r>
      <w:r w:rsidR="00F70BEC">
        <w:rPr>
          <w:b/>
          <w:snapToGrid w:val="0"/>
          <w:szCs w:val="24"/>
        </w:rPr>
        <w:t>202</w:t>
      </w:r>
      <w:r w:rsidR="001F591D">
        <w:rPr>
          <w:b/>
          <w:snapToGrid w:val="0"/>
          <w:szCs w:val="24"/>
        </w:rPr>
        <w:t>3</w:t>
      </w:r>
      <w:r w:rsidR="000F4817">
        <w:rPr>
          <w:b/>
          <w:snapToGrid w:val="0"/>
          <w:szCs w:val="24"/>
        </w:rPr>
        <w:t xml:space="preserve">.  </w:t>
      </w:r>
      <w:r w:rsidRPr="000662E9">
        <w:rPr>
          <w:snapToGrid w:val="0"/>
          <w:szCs w:val="24"/>
        </w:rPr>
        <w:t>Data obtained via Stat-Xplore.</w:t>
      </w:r>
    </w:p>
    <w:p w14:paraId="2E0299AD" w14:textId="77777777" w:rsidR="00CC2D0C" w:rsidRPr="000662E9" w:rsidRDefault="00CC2D0C" w:rsidP="00CC2D0C">
      <w:pPr>
        <w:rPr>
          <w:b/>
          <w:snapToGrid w:val="0"/>
          <w:szCs w:val="24"/>
          <w:u w:val="single"/>
        </w:rPr>
      </w:pPr>
    </w:p>
    <w:p w14:paraId="34CE3C38" w14:textId="121832B4" w:rsidR="00CC2D0C" w:rsidRPr="000662E9" w:rsidRDefault="00CC2D0C" w:rsidP="00CC2D0C">
      <w:pPr>
        <w:rPr>
          <w:snapToGrid w:val="0"/>
          <w:szCs w:val="24"/>
        </w:rPr>
      </w:pPr>
      <w:r w:rsidRPr="000662E9">
        <w:rPr>
          <w:snapToGrid w:val="0"/>
          <w:szCs w:val="24"/>
        </w:rPr>
        <w:t xml:space="preserve">For details on how to retrieve DWP data from the data dissemination website </w:t>
      </w:r>
      <w:bookmarkStart w:id="7" w:name="_Hlk116587512"/>
      <w:r w:rsidR="007821B8">
        <w:rPr>
          <w:snapToGrid w:val="0"/>
          <w:szCs w:val="24"/>
        </w:rPr>
        <w:fldChar w:fldCharType="begin"/>
      </w:r>
      <w:r w:rsidR="007821B8">
        <w:rPr>
          <w:snapToGrid w:val="0"/>
          <w:szCs w:val="24"/>
        </w:rPr>
        <w:instrText xml:space="preserve"> HYPERLINK "https://www.gov.uk/guidance/dwp-benefit-statistics-dissemination-tools" </w:instrText>
      </w:r>
      <w:r w:rsidR="007821B8">
        <w:rPr>
          <w:snapToGrid w:val="0"/>
          <w:szCs w:val="24"/>
        </w:rPr>
      </w:r>
      <w:r w:rsidR="007821B8">
        <w:rPr>
          <w:snapToGrid w:val="0"/>
          <w:szCs w:val="24"/>
        </w:rPr>
        <w:fldChar w:fldCharType="separate"/>
      </w:r>
      <w:r w:rsidRPr="007821B8">
        <w:rPr>
          <w:rStyle w:val="Hyperlink"/>
          <w:snapToGrid w:val="0"/>
          <w:szCs w:val="24"/>
        </w:rPr>
        <w:t>Stat-Xplore</w:t>
      </w:r>
      <w:r w:rsidR="007821B8">
        <w:rPr>
          <w:snapToGrid w:val="0"/>
          <w:szCs w:val="24"/>
        </w:rPr>
        <w:fldChar w:fldCharType="end"/>
      </w:r>
      <w:bookmarkEnd w:id="7"/>
      <w:r w:rsidRPr="000662E9">
        <w:rPr>
          <w:szCs w:val="24"/>
        </w:rPr>
        <w:t xml:space="preserve">, </w:t>
      </w:r>
      <w:r w:rsidR="00C25E1B" w:rsidRPr="000662E9">
        <w:rPr>
          <w:snapToGrid w:val="0"/>
          <w:szCs w:val="24"/>
        </w:rPr>
        <w:t xml:space="preserve">please see </w:t>
      </w:r>
      <w:hyperlink w:anchor="_Annex_B" w:history="1">
        <w:r w:rsidR="00C25E1B" w:rsidRPr="007821B8">
          <w:rPr>
            <w:rStyle w:val="Hyperlink"/>
            <w:snapToGrid w:val="0"/>
            <w:szCs w:val="24"/>
          </w:rPr>
          <w:t>Annex B</w:t>
        </w:r>
      </w:hyperlink>
      <w:r w:rsidRPr="000662E9">
        <w:rPr>
          <w:snapToGrid w:val="0"/>
          <w:szCs w:val="24"/>
        </w:rPr>
        <w:t>.</w:t>
      </w:r>
    </w:p>
    <w:p w14:paraId="66E8F6ED" w14:textId="77777777" w:rsidR="00CC2D0C" w:rsidRPr="00BF418A" w:rsidRDefault="00CC2D0C" w:rsidP="00CC2D0C">
      <w:pPr>
        <w:rPr>
          <w:b/>
          <w:snapToGrid w:val="0"/>
          <w:szCs w:val="24"/>
          <w:highlight w:val="yellow"/>
          <w:u w:val="single"/>
        </w:rPr>
      </w:pPr>
    </w:p>
    <w:p w14:paraId="1255BFFC" w14:textId="2F165298" w:rsidR="00CC2D0C" w:rsidRPr="000662E9" w:rsidRDefault="00CC2D0C" w:rsidP="00CC2D0C">
      <w:pPr>
        <w:rPr>
          <w:b/>
          <w:snapToGrid w:val="0"/>
          <w:sz w:val="24"/>
          <w:szCs w:val="24"/>
        </w:rPr>
      </w:pPr>
      <w:r w:rsidRPr="000662E9">
        <w:rPr>
          <w:b/>
          <w:snapToGrid w:val="0"/>
          <w:sz w:val="24"/>
          <w:szCs w:val="24"/>
        </w:rPr>
        <w:t>Severe Disablement Allowance or Disability Living Allowance or Personal Independence Payment Claimants</w:t>
      </w:r>
    </w:p>
    <w:p w14:paraId="7EB2F0DF" w14:textId="77777777" w:rsidR="00CC2D0C" w:rsidRPr="000662E9" w:rsidRDefault="00CC2D0C" w:rsidP="00FE262A">
      <w:pPr>
        <w:pStyle w:val="Heading2"/>
        <w:keepLines w:val="0"/>
        <w:widowControl/>
        <w:autoSpaceDE/>
        <w:autoSpaceDN/>
        <w:spacing w:before="0"/>
        <w:ind w:left="360"/>
      </w:pPr>
    </w:p>
    <w:p w14:paraId="31CFA269"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r w:rsidRPr="00D00674">
        <w:rPr>
          <w:b/>
          <w:bCs/>
          <w:color w:val="44546A" w:themeColor="text2"/>
        </w:rPr>
        <w:t>Number of Severe Disablement Allowance (SDA) or Disability Living Allowance (DLA) Claimants, aged 18-64</w:t>
      </w:r>
    </w:p>
    <w:p w14:paraId="05965251" w14:textId="77777777" w:rsidR="00CC2D0C" w:rsidRPr="000662E9" w:rsidRDefault="00CC2D0C" w:rsidP="00CC2D0C">
      <w:pPr>
        <w:rPr>
          <w:snapToGrid w:val="0"/>
          <w:szCs w:val="24"/>
        </w:rPr>
      </w:pPr>
    </w:p>
    <w:p w14:paraId="72E09B6E" w14:textId="7FF43684"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 xml:space="preserve">May </w:t>
      </w:r>
      <w:r w:rsidR="00F70BEC">
        <w:rPr>
          <w:b/>
          <w:snapToGrid w:val="0"/>
          <w:szCs w:val="24"/>
        </w:rPr>
        <w:t>202</w:t>
      </w:r>
      <w:r w:rsidR="001F591D">
        <w:rPr>
          <w:b/>
          <w:snapToGrid w:val="0"/>
          <w:szCs w:val="24"/>
        </w:rPr>
        <w:t>2</w:t>
      </w:r>
      <w:r w:rsidRPr="000662E9">
        <w:rPr>
          <w:b/>
          <w:snapToGrid w:val="0"/>
          <w:szCs w:val="24"/>
        </w:rPr>
        <w:t xml:space="preserve"> </w:t>
      </w:r>
      <w:r w:rsidRPr="000662E9">
        <w:rPr>
          <w:snapToGrid w:val="0"/>
          <w:szCs w:val="24"/>
        </w:rPr>
        <w:t>to</w:t>
      </w:r>
      <w:r w:rsidR="00780917">
        <w:rPr>
          <w:b/>
          <w:snapToGrid w:val="0"/>
          <w:szCs w:val="24"/>
        </w:rPr>
        <w:t xml:space="preserve"> February </w:t>
      </w:r>
      <w:r w:rsidR="00F70BEC">
        <w:rPr>
          <w:b/>
          <w:snapToGrid w:val="0"/>
          <w:szCs w:val="24"/>
        </w:rPr>
        <w:t>202</w:t>
      </w:r>
      <w:r w:rsidR="001F591D">
        <w:rPr>
          <w:b/>
          <w:snapToGrid w:val="0"/>
          <w:szCs w:val="24"/>
        </w:rPr>
        <w:t>3</w:t>
      </w:r>
      <w:r w:rsidR="000F4817">
        <w:rPr>
          <w:b/>
          <w:snapToGrid w:val="0"/>
          <w:szCs w:val="24"/>
        </w:rPr>
        <w:t xml:space="preserve">.  </w:t>
      </w:r>
      <w:r w:rsidRPr="000662E9">
        <w:rPr>
          <w:snapToGrid w:val="0"/>
          <w:szCs w:val="24"/>
        </w:rPr>
        <w:t xml:space="preserve">Data obtained via </w:t>
      </w:r>
      <w:hyperlink r:id="rId14" w:history="1">
        <w:r w:rsidR="00C25E1B" w:rsidRPr="000662E9">
          <w:t>Stat-Xplore</w:t>
        </w:r>
      </w:hyperlink>
      <w:r w:rsidRPr="000662E9">
        <w:rPr>
          <w:snapToGrid w:val="0"/>
          <w:szCs w:val="24"/>
        </w:rPr>
        <w:t>.</w:t>
      </w:r>
    </w:p>
    <w:p w14:paraId="2DB7B908" w14:textId="77777777" w:rsidR="00CC2D0C" w:rsidRPr="000662E9" w:rsidRDefault="00CC2D0C" w:rsidP="00CC2D0C">
      <w:pPr>
        <w:rPr>
          <w:b/>
          <w:snapToGrid w:val="0"/>
          <w:szCs w:val="24"/>
        </w:rPr>
      </w:pPr>
    </w:p>
    <w:p w14:paraId="7C423B4C" w14:textId="77777777" w:rsidR="00CC2D0C" w:rsidRPr="00D00674" w:rsidRDefault="00CC2D0C" w:rsidP="00FE262A">
      <w:pPr>
        <w:pStyle w:val="Heading2"/>
        <w:keepLines w:val="0"/>
        <w:widowControl/>
        <w:numPr>
          <w:ilvl w:val="0"/>
          <w:numId w:val="6"/>
        </w:numPr>
        <w:autoSpaceDE/>
        <w:autoSpaceDN/>
        <w:spacing w:before="0"/>
        <w:rPr>
          <w:b/>
          <w:bCs/>
          <w:color w:val="44546A" w:themeColor="text2"/>
        </w:rPr>
      </w:pPr>
      <w:r w:rsidRPr="00D00674">
        <w:rPr>
          <w:b/>
          <w:bCs/>
          <w:color w:val="44546A" w:themeColor="text2"/>
        </w:rPr>
        <w:t>Number of Personal Independence Payment (PIP) Claimants, aged 18-64</w:t>
      </w:r>
    </w:p>
    <w:p w14:paraId="13E9D92F" w14:textId="77777777" w:rsidR="00CC2D0C" w:rsidRPr="000662E9" w:rsidRDefault="00CC2D0C" w:rsidP="00CC2D0C">
      <w:pPr>
        <w:rPr>
          <w:b/>
          <w:snapToGrid w:val="0"/>
          <w:szCs w:val="24"/>
        </w:rPr>
      </w:pPr>
    </w:p>
    <w:p w14:paraId="0D3D9C3F" w14:textId="365F91FA"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 xml:space="preserve">May </w:t>
      </w:r>
      <w:r w:rsidR="00F70BEC">
        <w:rPr>
          <w:b/>
          <w:snapToGrid w:val="0"/>
          <w:szCs w:val="24"/>
        </w:rPr>
        <w:t>202</w:t>
      </w:r>
      <w:r w:rsidR="001F591D">
        <w:rPr>
          <w:b/>
          <w:snapToGrid w:val="0"/>
          <w:szCs w:val="24"/>
        </w:rPr>
        <w:t xml:space="preserve">2 </w:t>
      </w:r>
      <w:r w:rsidRPr="000662E9">
        <w:rPr>
          <w:snapToGrid w:val="0"/>
          <w:szCs w:val="24"/>
        </w:rPr>
        <w:t>to</w:t>
      </w:r>
      <w:r w:rsidR="00780917">
        <w:rPr>
          <w:b/>
          <w:snapToGrid w:val="0"/>
          <w:szCs w:val="24"/>
        </w:rPr>
        <w:t xml:space="preserve"> February </w:t>
      </w:r>
      <w:r w:rsidR="00F70BEC">
        <w:rPr>
          <w:b/>
          <w:snapToGrid w:val="0"/>
          <w:szCs w:val="24"/>
        </w:rPr>
        <w:t>202</w:t>
      </w:r>
      <w:r w:rsidR="001F591D">
        <w:rPr>
          <w:b/>
          <w:snapToGrid w:val="0"/>
          <w:szCs w:val="24"/>
        </w:rPr>
        <w:t>3</w:t>
      </w:r>
      <w:r w:rsidR="000F4817">
        <w:rPr>
          <w:b/>
          <w:snapToGrid w:val="0"/>
          <w:szCs w:val="24"/>
        </w:rPr>
        <w:t xml:space="preserve">.  </w:t>
      </w:r>
      <w:r w:rsidRPr="000662E9">
        <w:rPr>
          <w:snapToGrid w:val="0"/>
          <w:szCs w:val="24"/>
        </w:rPr>
        <w:t>Data obtained via Stat-Xplore.</w:t>
      </w:r>
    </w:p>
    <w:p w14:paraId="0F9FCAE5" w14:textId="77777777" w:rsidR="00CC2D0C" w:rsidRPr="000662E9" w:rsidRDefault="00CC2D0C" w:rsidP="00CC2D0C">
      <w:pPr>
        <w:rPr>
          <w:b/>
          <w:snapToGrid w:val="0"/>
          <w:szCs w:val="24"/>
        </w:rPr>
      </w:pPr>
    </w:p>
    <w:p w14:paraId="00377AE7" w14:textId="5B2BE306" w:rsidR="00CC2D0C" w:rsidRPr="000662E9" w:rsidRDefault="002F1DF4" w:rsidP="00CC2D0C">
      <w:pPr>
        <w:rPr>
          <w:snapToGrid w:val="0"/>
          <w:szCs w:val="24"/>
        </w:rPr>
      </w:pPr>
      <w:r w:rsidRPr="000662E9">
        <w:rPr>
          <w:snapToGrid w:val="0"/>
          <w:szCs w:val="24"/>
        </w:rPr>
        <w:t xml:space="preserve">For details on how to retrieve DWP data from the data dissemination website </w:t>
      </w:r>
      <w:hyperlink r:id="rId15" w:history="1">
        <w:r w:rsidRPr="007821B8">
          <w:rPr>
            <w:rStyle w:val="Hyperlink"/>
            <w:snapToGrid w:val="0"/>
            <w:szCs w:val="24"/>
          </w:rPr>
          <w:t>Stat-Xplore</w:t>
        </w:r>
      </w:hyperlink>
      <w:r w:rsidRPr="000662E9">
        <w:rPr>
          <w:szCs w:val="24"/>
        </w:rPr>
        <w:t xml:space="preserve">, </w:t>
      </w:r>
      <w:r w:rsidRPr="000662E9">
        <w:rPr>
          <w:snapToGrid w:val="0"/>
          <w:szCs w:val="24"/>
        </w:rPr>
        <w:t xml:space="preserve">please </w:t>
      </w:r>
      <w:r w:rsidRPr="000662E9">
        <w:rPr>
          <w:snapToGrid w:val="0"/>
          <w:szCs w:val="24"/>
        </w:rPr>
        <w:lastRenderedPageBreak/>
        <w:t xml:space="preserve">see </w:t>
      </w:r>
      <w:hyperlink w:anchor="_Annex_B" w:history="1">
        <w:r w:rsidRPr="007821B8">
          <w:rPr>
            <w:rStyle w:val="Hyperlink"/>
            <w:snapToGrid w:val="0"/>
            <w:szCs w:val="24"/>
          </w:rPr>
          <w:t>Annex B</w:t>
        </w:r>
      </w:hyperlink>
      <w:r w:rsidRPr="000662E9">
        <w:rPr>
          <w:snapToGrid w:val="0"/>
          <w:szCs w:val="24"/>
        </w:rPr>
        <w:t>.</w:t>
      </w:r>
    </w:p>
    <w:p w14:paraId="6B729CDF" w14:textId="77777777" w:rsidR="00CC2D0C" w:rsidRPr="00BF418A" w:rsidRDefault="00CC2D0C" w:rsidP="00CC2D0C">
      <w:pPr>
        <w:rPr>
          <w:szCs w:val="24"/>
          <w:highlight w:val="yellow"/>
        </w:rPr>
      </w:pPr>
    </w:p>
    <w:p w14:paraId="7235FAF3" w14:textId="1B3D38D6" w:rsidR="003A1865" w:rsidRPr="00BF418A" w:rsidRDefault="00CC2D0C" w:rsidP="00CC2D0C">
      <w:pPr>
        <w:rPr>
          <w:color w:val="FF0000"/>
          <w:szCs w:val="24"/>
          <w:highlight w:val="yellow"/>
        </w:rPr>
      </w:pPr>
      <w:r w:rsidRPr="00BF418A">
        <w:rPr>
          <w:color w:val="FF0000"/>
          <w:szCs w:val="24"/>
          <w:highlight w:val="yellow"/>
        </w:rPr>
        <w:t xml:space="preserve"> </w:t>
      </w:r>
    </w:p>
    <w:p w14:paraId="1BE91FC9" w14:textId="77777777" w:rsidR="00B12EDF" w:rsidRPr="00A1530F" w:rsidRDefault="00B12EDF" w:rsidP="00B12EDF">
      <w:pPr>
        <w:rPr>
          <w:b/>
          <w:snapToGrid w:val="0"/>
          <w:sz w:val="24"/>
          <w:szCs w:val="24"/>
        </w:rPr>
      </w:pPr>
      <w:r w:rsidRPr="00A1530F">
        <w:rPr>
          <w:b/>
          <w:snapToGrid w:val="0"/>
          <w:sz w:val="24"/>
          <w:szCs w:val="24"/>
        </w:rPr>
        <w:t>Dwellings</w:t>
      </w:r>
    </w:p>
    <w:p w14:paraId="59751DE3" w14:textId="77777777" w:rsidR="00B12EDF" w:rsidRPr="00A1530F" w:rsidRDefault="00B12EDF" w:rsidP="00B12EDF">
      <w:pPr>
        <w:rPr>
          <w:szCs w:val="24"/>
        </w:rPr>
      </w:pPr>
    </w:p>
    <w:p w14:paraId="7D086C52" w14:textId="77777777" w:rsidR="00B12EDF" w:rsidRPr="00E32044" w:rsidRDefault="00B12EDF" w:rsidP="00B12EDF">
      <w:pPr>
        <w:widowControl/>
        <w:numPr>
          <w:ilvl w:val="0"/>
          <w:numId w:val="19"/>
        </w:numPr>
        <w:autoSpaceDE/>
        <w:autoSpaceDN/>
        <w:rPr>
          <w:rFonts w:asciiTheme="majorHAnsi" w:hAnsiTheme="majorHAnsi" w:cstheme="majorHAnsi"/>
          <w:b/>
          <w:bCs/>
          <w:color w:val="5B9BD5" w:themeColor="accent1"/>
          <w:sz w:val="26"/>
          <w:szCs w:val="26"/>
        </w:rPr>
      </w:pPr>
      <w:r w:rsidRPr="00E32044">
        <w:rPr>
          <w:rFonts w:asciiTheme="majorHAnsi" w:hAnsiTheme="majorHAnsi" w:cstheme="majorHAnsi"/>
          <w:b/>
          <w:bCs/>
          <w:color w:val="000000" w:themeColor="text1"/>
          <w:sz w:val="26"/>
          <w:szCs w:val="26"/>
        </w:rPr>
        <w:t xml:space="preserve">Total dwellings - </w:t>
      </w:r>
      <w:r w:rsidRPr="00E32044">
        <w:rPr>
          <w:rFonts w:asciiTheme="majorHAnsi" w:hAnsiTheme="majorHAnsi" w:cstheme="majorHAnsi"/>
          <w:b/>
          <w:bCs/>
          <w:color w:val="000000" w:themeColor="text1"/>
          <w:sz w:val="26"/>
          <w:szCs w:val="26"/>
          <w:lang w:val="en"/>
        </w:rPr>
        <w:t>Number of dwellings by Council Tax Band and administrative area in Wales</w:t>
      </w:r>
    </w:p>
    <w:p w14:paraId="47308458" w14:textId="77777777" w:rsidR="00B12EDF" w:rsidRPr="00A1530F" w:rsidRDefault="00B12EDF" w:rsidP="00B12EDF">
      <w:pPr>
        <w:rPr>
          <w:szCs w:val="24"/>
        </w:rPr>
      </w:pPr>
    </w:p>
    <w:p w14:paraId="2B51F5DE" w14:textId="0587E1B5" w:rsidR="009740A5" w:rsidRPr="00E33DB6" w:rsidRDefault="00B12EDF" w:rsidP="00E33DB6">
      <w:pPr>
        <w:pStyle w:val="Heading3"/>
        <w:shd w:val="clear" w:color="auto" w:fill="FFFFFF"/>
        <w:spacing w:before="0"/>
        <w:rPr>
          <w:rFonts w:eastAsia="Times New Roman"/>
          <w:color w:val="0B0C0C"/>
          <w:sz w:val="29"/>
          <w:szCs w:val="29"/>
          <w:lang w:eastAsia="cy-GB" w:bidi="ar-SA"/>
        </w:rPr>
      </w:pPr>
      <w:r w:rsidRPr="00E33DB6">
        <w:rPr>
          <w:rFonts w:ascii="Arial" w:eastAsia="Arial" w:hAnsi="Arial" w:cs="Arial"/>
          <w:snapToGrid w:val="0"/>
          <w:color w:val="auto"/>
          <w:sz w:val="22"/>
        </w:rPr>
        <w:t>The number of domestic hereditaments supplied by the Valuation Office Agency (VOA)</w:t>
      </w:r>
      <w:r w:rsidR="000F4817" w:rsidRPr="00E33DB6">
        <w:rPr>
          <w:rFonts w:ascii="Arial" w:eastAsia="Arial" w:hAnsi="Arial" w:cs="Arial"/>
          <w:snapToGrid w:val="0"/>
          <w:color w:val="auto"/>
          <w:sz w:val="22"/>
        </w:rPr>
        <w:t xml:space="preserve">.  </w:t>
      </w:r>
      <w:r w:rsidRPr="00E33DB6">
        <w:rPr>
          <w:rFonts w:ascii="Arial" w:eastAsia="Arial" w:hAnsi="Arial" w:cs="Arial"/>
          <w:snapToGrid w:val="0"/>
          <w:color w:val="auto"/>
          <w:sz w:val="22"/>
        </w:rPr>
        <w:t xml:space="preserve">This data is rounded to the nearest 10 units and is available </w:t>
      </w:r>
      <w:r w:rsidR="002F1DF4" w:rsidRPr="00E33DB6">
        <w:rPr>
          <w:rFonts w:ascii="Arial" w:eastAsia="Arial" w:hAnsi="Arial" w:cs="Arial"/>
          <w:snapToGrid w:val="0"/>
          <w:color w:val="auto"/>
          <w:sz w:val="22"/>
        </w:rPr>
        <w:t>in</w:t>
      </w:r>
      <w:r w:rsidRPr="00A1530F">
        <w:t xml:space="preserve"> </w:t>
      </w:r>
      <w:hyperlink r:id="rId16" w:history="1">
        <w:r w:rsidR="002F1DF4" w:rsidRPr="00E33DB6">
          <w:rPr>
            <w:rStyle w:val="Hyperlink"/>
            <w:rFonts w:ascii="Arial" w:hAnsi="Arial" w:cs="Arial"/>
            <w:color w:val="1D70B8"/>
          </w:rPr>
          <w:t>Table CTSOP1.0_SUP: number of properties by Council Tax band and administrative area at 1</w:t>
        </w:r>
        <w:r w:rsidR="00B91617">
          <w:rPr>
            <w:rStyle w:val="Hyperlink"/>
            <w:rFonts w:ascii="Arial" w:hAnsi="Arial" w:cs="Arial"/>
            <w:color w:val="1D70B8"/>
          </w:rPr>
          <w:t>1</w:t>
        </w:r>
        <w:r w:rsidR="002F1DF4" w:rsidRPr="00E33DB6">
          <w:rPr>
            <w:rStyle w:val="Hyperlink"/>
            <w:rFonts w:ascii="Arial" w:hAnsi="Arial" w:cs="Arial"/>
            <w:color w:val="1D70B8"/>
          </w:rPr>
          <w:t xml:space="preserve"> September 202</w:t>
        </w:r>
      </w:hyperlink>
      <w:r w:rsidR="00B91617">
        <w:rPr>
          <w:rStyle w:val="Hyperlink"/>
          <w:rFonts w:ascii="Arial" w:hAnsi="Arial" w:cs="Arial"/>
          <w:color w:val="1D70B8"/>
        </w:rPr>
        <w:t>3</w:t>
      </w:r>
      <w:r w:rsidRPr="00E33DB6">
        <w:rPr>
          <w:rFonts w:ascii="Arial" w:hAnsi="Arial" w:cs="Arial"/>
          <w:lang w:val="en"/>
        </w:rPr>
        <w:t>.</w:t>
      </w:r>
    </w:p>
    <w:p w14:paraId="20DFCEFE" w14:textId="77777777" w:rsidR="009740A5" w:rsidRPr="00FE53F3" w:rsidRDefault="009740A5" w:rsidP="002068E2">
      <w:pPr>
        <w:rPr>
          <w:highlight w:val="yellow"/>
        </w:rPr>
      </w:pPr>
    </w:p>
    <w:p w14:paraId="2D7DE40A" w14:textId="77777777" w:rsidR="00D67029" w:rsidRPr="00D67029" w:rsidRDefault="00D67029" w:rsidP="00441056">
      <w:pPr>
        <w:pStyle w:val="Heading1"/>
        <w:spacing w:before="92"/>
        <w:rPr>
          <w:b w:val="0"/>
        </w:rPr>
      </w:pPr>
    </w:p>
    <w:p w14:paraId="0A53B2CB" w14:textId="1FF8F93A" w:rsidR="00441056" w:rsidRDefault="00441056" w:rsidP="00441056">
      <w:pPr>
        <w:pStyle w:val="Heading1"/>
        <w:spacing w:before="92"/>
      </w:pPr>
      <w:r>
        <w:t>Road lengths</w:t>
      </w:r>
    </w:p>
    <w:p w14:paraId="47FEDC54" w14:textId="77777777" w:rsidR="00441056" w:rsidRDefault="00441056" w:rsidP="00441056">
      <w:pPr>
        <w:pStyle w:val="BodyText"/>
        <w:spacing w:before="9"/>
        <w:rPr>
          <w:b/>
          <w:sz w:val="23"/>
        </w:rPr>
      </w:pPr>
    </w:p>
    <w:p w14:paraId="0E1A19C0" w14:textId="09BACF5C" w:rsidR="00441056" w:rsidRPr="00441056" w:rsidRDefault="00441056" w:rsidP="00441056">
      <w:pPr>
        <w:ind w:left="118"/>
        <w:rPr>
          <w:i/>
          <w:sz w:val="24"/>
        </w:rPr>
      </w:pPr>
      <w:r>
        <w:rPr>
          <w:sz w:val="24"/>
        </w:rPr>
        <w:t xml:space="preserve">The length, </w:t>
      </w:r>
      <w:r w:rsidR="00BF639B">
        <w:rPr>
          <w:b/>
          <w:bCs/>
          <w:sz w:val="24"/>
        </w:rPr>
        <w:t>Oct</w:t>
      </w:r>
      <w:r>
        <w:rPr>
          <w:b/>
          <w:sz w:val="24"/>
        </w:rPr>
        <w:t xml:space="preserve"> March </w:t>
      </w:r>
      <w:r w:rsidR="00F70BEC">
        <w:rPr>
          <w:b/>
          <w:sz w:val="24"/>
        </w:rPr>
        <w:t>202</w:t>
      </w:r>
      <w:r w:rsidR="009F4414">
        <w:rPr>
          <w:b/>
          <w:sz w:val="24"/>
        </w:rPr>
        <w:t>3</w:t>
      </w:r>
      <w:r>
        <w:rPr>
          <w:sz w:val="24"/>
        </w:rPr>
        <w:t>, in kilometres of</w:t>
      </w:r>
      <w:r>
        <w:rPr>
          <w:i/>
          <w:sz w:val="24"/>
        </w:rPr>
        <w:t>:</w:t>
      </w:r>
    </w:p>
    <w:p w14:paraId="20230C54" w14:textId="2EC31FBB" w:rsidR="00441056" w:rsidRPr="00441056" w:rsidRDefault="00441056" w:rsidP="00441056">
      <w:pPr>
        <w:pStyle w:val="ListParagraph"/>
        <w:numPr>
          <w:ilvl w:val="0"/>
          <w:numId w:val="1"/>
        </w:numPr>
        <w:tabs>
          <w:tab w:val="left" w:pos="478"/>
          <w:tab w:val="left" w:pos="479"/>
        </w:tabs>
        <w:spacing w:before="1"/>
        <w:ind w:firstLine="0"/>
        <w:rPr>
          <w:b/>
          <w:i/>
          <w:sz w:val="24"/>
        </w:rPr>
      </w:pPr>
      <w:r w:rsidRPr="00B22B59">
        <w:rPr>
          <w:b/>
          <w:i/>
          <w:sz w:val="24"/>
        </w:rPr>
        <w:t>A county roads;</w:t>
      </w:r>
    </w:p>
    <w:p w14:paraId="477B6633" w14:textId="53EB05A8" w:rsidR="00441056" w:rsidRPr="00441056" w:rsidRDefault="00441056" w:rsidP="00441056">
      <w:pPr>
        <w:pStyle w:val="ListParagraph"/>
        <w:numPr>
          <w:ilvl w:val="0"/>
          <w:numId w:val="1"/>
        </w:numPr>
        <w:tabs>
          <w:tab w:val="left" w:pos="478"/>
          <w:tab w:val="left" w:pos="479"/>
        </w:tabs>
        <w:spacing w:before="1"/>
        <w:ind w:firstLine="0"/>
        <w:rPr>
          <w:rFonts w:ascii="Symbol" w:hAnsi="Symbol"/>
          <w:b/>
          <w:i/>
          <w:sz w:val="20"/>
        </w:rPr>
      </w:pPr>
      <w:r>
        <w:rPr>
          <w:b/>
          <w:i/>
          <w:sz w:val="24"/>
        </w:rPr>
        <w:t>Built-up A county</w:t>
      </w:r>
      <w:r>
        <w:rPr>
          <w:b/>
          <w:i/>
          <w:spacing w:val="-1"/>
          <w:sz w:val="24"/>
        </w:rPr>
        <w:t xml:space="preserve"> </w:t>
      </w:r>
      <w:r>
        <w:rPr>
          <w:b/>
          <w:i/>
          <w:sz w:val="24"/>
        </w:rPr>
        <w:t>roads;</w:t>
      </w:r>
    </w:p>
    <w:p w14:paraId="4F694FB8" w14:textId="2C90108E"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 and C roads;</w:t>
      </w:r>
    </w:p>
    <w:p w14:paraId="022296C9" w14:textId="40191FF8"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Built-up B and C</w:t>
      </w:r>
      <w:r>
        <w:rPr>
          <w:b/>
          <w:i/>
          <w:spacing w:val="-1"/>
          <w:sz w:val="24"/>
        </w:rPr>
        <w:t xml:space="preserve"> </w:t>
      </w:r>
      <w:r>
        <w:rPr>
          <w:b/>
          <w:i/>
          <w:sz w:val="24"/>
        </w:rPr>
        <w:t>roads;</w:t>
      </w:r>
    </w:p>
    <w:p w14:paraId="7532E4A3" w14:textId="7E735FE1"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minor surfaced roads;</w:t>
      </w:r>
      <w:r>
        <w:rPr>
          <w:b/>
          <w:i/>
          <w:spacing w:val="-1"/>
          <w:sz w:val="24"/>
        </w:rPr>
        <w:t xml:space="preserve"> </w:t>
      </w:r>
      <w:r>
        <w:rPr>
          <w:b/>
          <w:i/>
          <w:sz w:val="24"/>
        </w:rPr>
        <w:t>and</w:t>
      </w:r>
    </w:p>
    <w:p w14:paraId="3C7A2636" w14:textId="77777777" w:rsidR="00441056" w:rsidRDefault="00441056" w:rsidP="00441056">
      <w:pPr>
        <w:pStyle w:val="ListParagraph"/>
        <w:numPr>
          <w:ilvl w:val="0"/>
          <w:numId w:val="1"/>
        </w:numPr>
        <w:tabs>
          <w:tab w:val="left" w:pos="478"/>
          <w:tab w:val="left" w:pos="479"/>
        </w:tabs>
        <w:spacing w:line="480" w:lineRule="auto"/>
        <w:ind w:right="5797" w:firstLine="0"/>
        <w:rPr>
          <w:rFonts w:ascii="Symbol" w:hAnsi="Symbol"/>
          <w:b/>
          <w:i/>
          <w:sz w:val="20"/>
        </w:rPr>
      </w:pPr>
      <w:r>
        <w:rPr>
          <w:b/>
          <w:i/>
          <w:sz w:val="24"/>
        </w:rPr>
        <w:t xml:space="preserve">Built-up minor surfaced </w:t>
      </w:r>
      <w:r>
        <w:rPr>
          <w:b/>
          <w:i/>
          <w:spacing w:val="-3"/>
          <w:sz w:val="24"/>
        </w:rPr>
        <w:t xml:space="preserve">roads </w:t>
      </w:r>
      <w:r>
        <w:rPr>
          <w:b/>
          <w:i/>
          <w:sz w:val="24"/>
        </w:rPr>
        <w:t>within the area of the</w:t>
      </w:r>
      <w:r>
        <w:rPr>
          <w:b/>
          <w:i/>
          <w:spacing w:val="-4"/>
          <w:sz w:val="24"/>
        </w:rPr>
        <w:t xml:space="preserve"> </w:t>
      </w:r>
      <w:r>
        <w:rPr>
          <w:b/>
          <w:i/>
          <w:sz w:val="24"/>
        </w:rPr>
        <w:t>authority.</w:t>
      </w:r>
    </w:p>
    <w:p w14:paraId="3518AAA1" w14:textId="77777777" w:rsidR="00441056" w:rsidRDefault="00441056" w:rsidP="00441056">
      <w:pPr>
        <w:pStyle w:val="BodyText"/>
        <w:spacing w:before="1"/>
        <w:ind w:left="118" w:right="87"/>
      </w:pPr>
      <w:r>
        <w:t xml:space="preserve">Figures are taken from the statutory </w:t>
      </w:r>
      <w:r>
        <w:rPr>
          <w:b/>
        </w:rPr>
        <w:t xml:space="preserve">TP1 </w:t>
      </w:r>
      <w:r>
        <w:t>return from each local authority and relate to the roads for which the local authority is responsible.</w:t>
      </w:r>
    </w:p>
    <w:p w14:paraId="0E56A122" w14:textId="77777777" w:rsidR="00441056" w:rsidRDefault="00441056" w:rsidP="00441056">
      <w:pPr>
        <w:pStyle w:val="BodyText"/>
      </w:pPr>
    </w:p>
    <w:p w14:paraId="2C704322" w14:textId="77777777" w:rsidR="00441056" w:rsidRDefault="00441056" w:rsidP="00441056">
      <w:pPr>
        <w:pStyle w:val="BodyText"/>
        <w:ind w:left="118" w:right="579"/>
      </w:pPr>
      <w:r>
        <w:t>The road lengths that should be included are; those lengths classified by Formal Declaration or Trunk Road Order; only highways maintainable at public expense (as defined in Section 36 of the Highways Act 1980); only those road lengths physically inside the Local Authority boundary, i.e. not those lengths in a neighbouring authority maintained as part of an agreement with that authority.</w:t>
      </w:r>
    </w:p>
    <w:p w14:paraId="69CC4884" w14:textId="77777777" w:rsidR="00441056" w:rsidRDefault="00441056" w:rsidP="00441056">
      <w:pPr>
        <w:pStyle w:val="BodyText"/>
      </w:pPr>
    </w:p>
    <w:p w14:paraId="5D06CFA3" w14:textId="77777777" w:rsidR="00441056" w:rsidRDefault="00441056" w:rsidP="00441056">
      <w:pPr>
        <w:pStyle w:val="BodyText"/>
        <w:ind w:left="118" w:right="305"/>
      </w:pPr>
      <w:r>
        <w:t>The following should not be included; minor unsurfaced roads, separated surfaced footpaths (built-up areas), BOATs (Byways Open to All Traffic), bridleways, footpaths or purpose-built cycleways. If the information is available, then it should be entered separately in the allotted spaces. Any RUPPs (Roads Used as Public Paths) that have not yet been reclassified should be included with BOATs.</w:t>
      </w:r>
    </w:p>
    <w:p w14:paraId="69587854" w14:textId="77777777" w:rsidR="00441056" w:rsidRDefault="00441056" w:rsidP="00441056">
      <w:pPr>
        <w:pStyle w:val="BodyText"/>
      </w:pPr>
    </w:p>
    <w:p w14:paraId="020D1FBD" w14:textId="77777777" w:rsidR="00441056" w:rsidRDefault="00441056" w:rsidP="00441056">
      <w:pPr>
        <w:pStyle w:val="BodyText"/>
        <w:spacing w:before="1"/>
        <w:ind w:left="118" w:right="379"/>
      </w:pPr>
      <w:r>
        <w:t>Dual carriageway road length should relate to the route length and not the carriageway length. A built-up road is a highway subject to a speed limit of either 30 mph or not exceeding 40 mph.</w:t>
      </w:r>
    </w:p>
    <w:p w14:paraId="4C873461" w14:textId="77777777" w:rsidR="00441056" w:rsidRDefault="00441056" w:rsidP="00441056">
      <w:pPr>
        <w:pStyle w:val="BodyText"/>
        <w:spacing w:before="9"/>
        <w:rPr>
          <w:sz w:val="23"/>
        </w:rPr>
      </w:pPr>
    </w:p>
    <w:p w14:paraId="63ADB17D" w14:textId="2954425E" w:rsidR="00441056" w:rsidRDefault="00441056" w:rsidP="00E33DB6">
      <w:pPr>
        <w:pStyle w:val="BodyText"/>
        <w:ind w:left="118" w:right="434"/>
      </w:pPr>
      <w:r>
        <w:t>This data can be found on the Welsh Government (WG) Knowledge and Analytical Services (KAS) statistical dissemination tool</w:t>
      </w:r>
      <w:r w:rsidR="00AC43CC">
        <w:t>,</w:t>
      </w:r>
      <w:r>
        <w:t xml:space="preserve"> </w:t>
      </w:r>
      <w:hyperlink r:id="rId17" w:history="1">
        <w:r w:rsidRPr="00AC43CC">
          <w:rPr>
            <w:rStyle w:val="Hyperlink"/>
          </w:rPr>
          <w:t>Stats Wales</w:t>
        </w:r>
      </w:hyperlink>
    </w:p>
    <w:p w14:paraId="5E3BE06B" w14:textId="77777777" w:rsidR="00441056" w:rsidRPr="00BF418A" w:rsidRDefault="00441056" w:rsidP="002068E2">
      <w:pPr>
        <w:rPr>
          <w:highlight w:val="yellow"/>
        </w:rPr>
        <w:sectPr w:rsidR="00441056" w:rsidRPr="00BF418A">
          <w:footerReference w:type="default" r:id="rId18"/>
          <w:pgSz w:w="11910" w:h="16850"/>
          <w:pgMar w:top="1060" w:right="900" w:bottom="980" w:left="1300" w:header="0" w:footer="790" w:gutter="0"/>
          <w:cols w:space="720"/>
        </w:sectPr>
      </w:pPr>
    </w:p>
    <w:p w14:paraId="238374CA" w14:textId="77777777" w:rsidR="00C25E1B" w:rsidRPr="00506C5C" w:rsidRDefault="00C25E1B" w:rsidP="00E33DB6">
      <w:pPr>
        <w:pStyle w:val="Heading1"/>
        <w:jc w:val="right"/>
      </w:pPr>
      <w:bookmarkStart w:id="8" w:name="_Annex_A"/>
      <w:bookmarkEnd w:id="8"/>
      <w:r w:rsidRPr="00506C5C">
        <w:lastRenderedPageBreak/>
        <w:t xml:space="preserve">Annex A </w:t>
      </w:r>
    </w:p>
    <w:p w14:paraId="05242B53" w14:textId="77777777" w:rsidR="00C25E1B" w:rsidRPr="00BF418A" w:rsidRDefault="00C25E1B" w:rsidP="0002570C">
      <w:pPr>
        <w:ind w:left="118"/>
        <w:rPr>
          <w:b/>
          <w:sz w:val="24"/>
          <w:highlight w:val="yellow"/>
        </w:rPr>
      </w:pPr>
    </w:p>
    <w:p w14:paraId="579EBCA2" w14:textId="77777777" w:rsidR="0002570C" w:rsidRPr="00506C5C" w:rsidRDefault="0002570C" w:rsidP="0002570C">
      <w:pPr>
        <w:ind w:left="118"/>
        <w:rPr>
          <w:b/>
          <w:sz w:val="24"/>
        </w:rPr>
      </w:pPr>
      <w:r w:rsidRPr="00506C5C">
        <w:rPr>
          <w:b/>
          <w:sz w:val="24"/>
        </w:rPr>
        <w:t>Data Repositories:</w:t>
      </w:r>
    </w:p>
    <w:p w14:paraId="7FB77681" w14:textId="39A988BB" w:rsidR="00B056C7" w:rsidRPr="00792096" w:rsidRDefault="0002570C" w:rsidP="00B056C7">
      <w:pPr>
        <w:pStyle w:val="BodyText"/>
        <w:spacing w:before="120" w:line="343" w:lineRule="auto"/>
        <w:ind w:left="118" w:right="1488"/>
        <w:rPr>
          <w:color w:val="2E74B5" w:themeColor="accent1" w:themeShade="BF"/>
        </w:rPr>
      </w:pPr>
      <w:r w:rsidRPr="00506C5C">
        <w:t xml:space="preserve">Planning applications </w:t>
      </w:r>
      <w:r w:rsidRPr="00792096">
        <w:rPr>
          <w:color w:val="2E74B5" w:themeColor="accent1" w:themeShade="BF"/>
        </w:rPr>
        <w:t xml:space="preserve">– </w:t>
      </w:r>
      <w:hyperlink r:id="rId19" w:history="1">
        <w:r w:rsidR="001C646F" w:rsidRPr="00CD3D4B">
          <w:rPr>
            <w:rStyle w:val="Hyperlink"/>
          </w:rPr>
          <w:t>Planning.Directorate@gov.wales</w:t>
        </w:r>
      </w:hyperlink>
      <w:r w:rsidR="001C646F">
        <w:t xml:space="preserve"> </w:t>
      </w:r>
    </w:p>
    <w:p w14:paraId="032EC09A" w14:textId="77777777" w:rsidR="0002570C" w:rsidRPr="00506C5C" w:rsidRDefault="00B056C7" w:rsidP="0002570C">
      <w:pPr>
        <w:pStyle w:val="BodyText"/>
        <w:spacing w:before="6" w:line="343" w:lineRule="auto"/>
        <w:ind w:left="118" w:right="2351"/>
      </w:pPr>
      <w:r w:rsidRPr="00506C5C">
        <w:t>L</w:t>
      </w:r>
      <w:r w:rsidR="0002570C" w:rsidRPr="00506C5C">
        <w:t xml:space="preserve">and Area – </w:t>
      </w:r>
      <w:hyperlink r:id="rId20">
        <w:r w:rsidR="0002570C" w:rsidRPr="00792096">
          <w:rPr>
            <w:color w:val="2E74B5" w:themeColor="accent1" w:themeShade="BF"/>
            <w:u w:val="single" w:color="0000FF"/>
          </w:rPr>
          <w:t>David.Roberts10@Gov.wales</w:t>
        </w:r>
      </w:hyperlink>
    </w:p>
    <w:p w14:paraId="3448DE3A" w14:textId="477ABDA1" w:rsidR="00D027D6" w:rsidRDefault="0002570C" w:rsidP="00B056C7">
      <w:pPr>
        <w:pStyle w:val="BodyText"/>
        <w:spacing w:line="336" w:lineRule="auto"/>
        <w:ind w:left="118" w:right="239"/>
      </w:pPr>
      <w:r w:rsidRPr="00506C5C">
        <w:t>Land drainage precepts –</w:t>
      </w:r>
      <w:hyperlink r:id="rId21" w:history="1">
        <w:r w:rsidR="00D027D6" w:rsidRPr="0041419A">
          <w:rPr>
            <w:rStyle w:val="Hyperlink"/>
          </w:rPr>
          <w:t>Hayley.MacDonald-Jones@cyfoethnaturiolcymru.gov.uk</w:t>
        </w:r>
      </w:hyperlink>
      <w:r w:rsidR="00D027D6">
        <w:t xml:space="preserve"> </w:t>
      </w:r>
    </w:p>
    <w:p w14:paraId="2EEC34D2" w14:textId="37863FC3" w:rsidR="00B056C7" w:rsidRPr="00506C5C" w:rsidRDefault="0002570C" w:rsidP="00B056C7">
      <w:pPr>
        <w:pStyle w:val="BodyText"/>
        <w:spacing w:line="336" w:lineRule="auto"/>
        <w:ind w:left="118" w:right="239"/>
      </w:pPr>
      <w:r w:rsidRPr="00506C5C">
        <w:t xml:space="preserve">Coastline – </w:t>
      </w:r>
      <w:hyperlink r:id="rId22" w:history="1">
        <w:r w:rsidR="00B056C7" w:rsidRPr="00506C5C">
          <w:rPr>
            <w:rStyle w:val="Hyperlink"/>
          </w:rPr>
          <w:t>FloodCoastalRisk@gov.wales</w:t>
        </w:r>
      </w:hyperlink>
      <w:r w:rsidR="00B056C7" w:rsidRPr="00506C5C">
        <w:t xml:space="preserve"> </w:t>
      </w:r>
    </w:p>
    <w:p w14:paraId="0FE37332" w14:textId="7B7ECB1B" w:rsidR="00AA2F19" w:rsidRDefault="0002570C" w:rsidP="00792096">
      <w:pPr>
        <w:pStyle w:val="BodyText"/>
        <w:spacing w:line="336" w:lineRule="auto"/>
        <w:ind w:left="118" w:right="239"/>
        <w:rPr>
          <w:color w:val="0000FF"/>
          <w:u w:val="single" w:color="0000FF"/>
        </w:rPr>
      </w:pPr>
      <w:r w:rsidRPr="00506C5C">
        <w:t xml:space="preserve">Farms – </w:t>
      </w:r>
      <w:hyperlink r:id="rId23">
        <w:r w:rsidRPr="00792096">
          <w:rPr>
            <w:color w:val="2E74B5" w:themeColor="accent1" w:themeShade="BF"/>
            <w:u w:val="single" w:color="0000FF"/>
          </w:rPr>
          <w:t>stats.agric@gov.wales</w:t>
        </w:r>
      </w:hyperlink>
    </w:p>
    <w:p w14:paraId="4A42B7D4" w14:textId="62355F48" w:rsidR="00792096" w:rsidRPr="00792096" w:rsidRDefault="00792096" w:rsidP="00792096">
      <w:pPr>
        <w:pStyle w:val="BodyText"/>
        <w:spacing w:line="336" w:lineRule="auto"/>
        <w:ind w:left="118" w:right="239"/>
        <w:rPr>
          <w:color w:val="0000FF"/>
          <w:u w:color="0000FF"/>
        </w:rPr>
      </w:pPr>
      <w:r w:rsidRPr="00792096">
        <w:rPr>
          <w:u w:color="0000FF"/>
        </w:rPr>
        <w:t xml:space="preserve">Food and Trading premises </w:t>
      </w:r>
      <w:r>
        <w:rPr>
          <w:color w:val="0000FF"/>
          <w:u w:color="0000FF"/>
        </w:rPr>
        <w:t xml:space="preserve">- </w:t>
      </w:r>
      <w:hyperlink r:id="rId24" w:history="1">
        <w:r w:rsidR="00D360D8">
          <w:rPr>
            <w:rStyle w:val="Hyperlink"/>
          </w:rPr>
          <w:t>LGFPSettlement@gov.wales</w:t>
        </w:r>
      </w:hyperlink>
    </w:p>
    <w:p w14:paraId="23C6FDA9" w14:textId="1FD5BBDE" w:rsidR="00AA2F19" w:rsidRPr="00792096" w:rsidRDefault="00792096" w:rsidP="00792096">
      <w:pPr>
        <w:spacing w:line="360" w:lineRule="auto"/>
        <w:ind w:right="71"/>
        <w:rPr>
          <w:rStyle w:val="Hyperlink"/>
          <w:sz w:val="24"/>
          <w:szCs w:val="24"/>
        </w:rPr>
      </w:pPr>
      <w:r>
        <w:rPr>
          <w:sz w:val="24"/>
          <w:szCs w:val="24"/>
        </w:rPr>
        <w:t xml:space="preserve">  </w:t>
      </w:r>
      <w:r w:rsidR="00AA2F19" w:rsidRPr="00792096">
        <w:rPr>
          <w:sz w:val="24"/>
          <w:szCs w:val="24"/>
        </w:rPr>
        <w:t xml:space="preserve">Street Lighting Units – </w:t>
      </w:r>
      <w:hyperlink r:id="rId25" w:history="1">
        <w:r w:rsidR="00D360D8">
          <w:rPr>
            <w:rStyle w:val="Hyperlink"/>
            <w:sz w:val="24"/>
            <w:szCs w:val="24"/>
          </w:rPr>
          <w:t>LGFPSettlement@gov.wales</w:t>
        </w:r>
      </w:hyperlink>
    </w:p>
    <w:p w14:paraId="23FE1496" w14:textId="77777777" w:rsidR="00AA2F19" w:rsidRPr="00792096" w:rsidRDefault="00AA2F19" w:rsidP="00830F14">
      <w:pPr>
        <w:spacing w:line="360" w:lineRule="auto"/>
        <w:ind w:left="142" w:right="71"/>
        <w:rPr>
          <w:rStyle w:val="Hyperlink"/>
          <w:sz w:val="24"/>
          <w:szCs w:val="24"/>
          <w:lang w:val="en"/>
        </w:rPr>
      </w:pPr>
      <w:r w:rsidRPr="00792096">
        <w:rPr>
          <w:sz w:val="24"/>
          <w:szCs w:val="24"/>
        </w:rPr>
        <w:t>Mortality Data – Office for National Statistics (ONS) -</w:t>
      </w:r>
      <w:r w:rsidR="00CD1182" w:rsidRPr="00792096">
        <w:rPr>
          <w:sz w:val="24"/>
          <w:szCs w:val="24"/>
        </w:rPr>
        <w:t xml:space="preserve"> </w:t>
      </w:r>
      <w:hyperlink r:id="rId26" w:history="1">
        <w:r w:rsidR="00CD1182" w:rsidRPr="00792096">
          <w:rPr>
            <w:rStyle w:val="Hyperlink"/>
            <w:sz w:val="24"/>
            <w:szCs w:val="24"/>
          </w:rPr>
          <w:t>mortality@ons.gov.uk</w:t>
        </w:r>
      </w:hyperlink>
      <w:r w:rsidR="00CD1182" w:rsidRPr="00792096">
        <w:rPr>
          <w:sz w:val="24"/>
          <w:szCs w:val="24"/>
        </w:rPr>
        <w:t xml:space="preserve"> </w:t>
      </w:r>
    </w:p>
    <w:p w14:paraId="65689050"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Council Tax Reduction Schemes (Ctrs) Data – Welsh Government Local Taxation Policy Division - </w:t>
      </w:r>
      <w:hyperlink r:id="rId27" w:history="1">
        <w:r w:rsidRPr="00792096">
          <w:rPr>
            <w:rStyle w:val="Hyperlink"/>
            <w:sz w:val="24"/>
            <w:szCs w:val="24"/>
          </w:rPr>
          <w:t>LocalTaxationPolicy@gov.wales</w:t>
        </w:r>
      </w:hyperlink>
      <w:r w:rsidRPr="00792096">
        <w:rPr>
          <w:sz w:val="24"/>
          <w:szCs w:val="24"/>
        </w:rPr>
        <w:t xml:space="preserve"> </w:t>
      </w:r>
      <w:r w:rsidRPr="00792096">
        <w:rPr>
          <w:rStyle w:val="Hyperlink"/>
          <w:sz w:val="24"/>
          <w:szCs w:val="24"/>
        </w:rPr>
        <w:t xml:space="preserve"> </w:t>
      </w:r>
    </w:p>
    <w:p w14:paraId="77753463" w14:textId="77777777" w:rsidR="00686AD0" w:rsidRPr="00792096" w:rsidRDefault="00686AD0" w:rsidP="00830F14">
      <w:pPr>
        <w:spacing w:line="360" w:lineRule="auto"/>
        <w:ind w:left="142" w:right="71"/>
        <w:rPr>
          <w:sz w:val="24"/>
          <w:szCs w:val="24"/>
        </w:rPr>
      </w:pPr>
      <w:r w:rsidRPr="00792096">
        <w:rPr>
          <w:sz w:val="24"/>
          <w:szCs w:val="24"/>
        </w:rPr>
        <w:t xml:space="preserve">Ships Arriving at Ports – Maritime Statistics Branch, Department for Transport - </w:t>
      </w:r>
      <w:hyperlink r:id="rId28" w:history="1">
        <w:r w:rsidRPr="00792096">
          <w:rPr>
            <w:rStyle w:val="Hyperlink"/>
            <w:sz w:val="24"/>
            <w:szCs w:val="24"/>
          </w:rPr>
          <w:t>MARITIME.STATS@dft.gov.uk</w:t>
        </w:r>
      </w:hyperlink>
    </w:p>
    <w:p w14:paraId="316417B7" w14:textId="721E0495" w:rsidR="00C25E1B" w:rsidRPr="00792096" w:rsidRDefault="00C25E1B" w:rsidP="00C25E1B">
      <w:pPr>
        <w:spacing w:line="360" w:lineRule="auto"/>
        <w:ind w:left="142"/>
        <w:rPr>
          <w:sz w:val="24"/>
          <w:szCs w:val="24"/>
        </w:rPr>
      </w:pPr>
      <w:r w:rsidRPr="00792096">
        <w:rPr>
          <w:sz w:val="24"/>
          <w:szCs w:val="24"/>
        </w:rPr>
        <w:t xml:space="preserve">Claimant Count Data – NOMIS - official labour market statistics - </w:t>
      </w:r>
      <w:hyperlink r:id="rId29" w:history="1">
        <w:r w:rsidRPr="00792096">
          <w:rPr>
            <w:rStyle w:val="Hyperlink"/>
            <w:sz w:val="24"/>
            <w:szCs w:val="24"/>
          </w:rPr>
          <w:t>https://www.nomisweb.co.uk/</w:t>
        </w:r>
      </w:hyperlink>
    </w:p>
    <w:p w14:paraId="67EE9A59" w14:textId="77777777" w:rsidR="00686AD0" w:rsidRPr="00792096" w:rsidRDefault="00C25E1B" w:rsidP="00830F14">
      <w:pPr>
        <w:spacing w:line="360" w:lineRule="auto"/>
        <w:ind w:left="142"/>
        <w:rPr>
          <w:rStyle w:val="Hyperlink"/>
          <w:sz w:val="24"/>
          <w:szCs w:val="24"/>
        </w:rPr>
      </w:pPr>
      <w:r w:rsidRPr="00792096">
        <w:rPr>
          <w:sz w:val="24"/>
          <w:szCs w:val="24"/>
        </w:rPr>
        <w:t xml:space="preserve">Benefits Claimants Data - </w:t>
      </w:r>
      <w:r w:rsidR="00773093" w:rsidRPr="00792096">
        <w:rPr>
          <w:sz w:val="24"/>
          <w:szCs w:val="24"/>
        </w:rPr>
        <w:t xml:space="preserve">'Department for Work and Pensions (DWP)’ - </w:t>
      </w:r>
      <w:hyperlink r:id="rId30" w:history="1">
        <w:r w:rsidR="00773093" w:rsidRPr="00792096">
          <w:rPr>
            <w:rStyle w:val="Hyperlink"/>
            <w:sz w:val="24"/>
            <w:szCs w:val="24"/>
          </w:rPr>
          <w:t>https://stat-xplore.dwp.gov.uk/webapi/jsf/login.xhtml</w:t>
        </w:r>
      </w:hyperlink>
    </w:p>
    <w:p w14:paraId="47A4447D" w14:textId="77777777" w:rsidR="00C25E1B" w:rsidRPr="00506C5C" w:rsidRDefault="00C25E1B" w:rsidP="00830F14">
      <w:pPr>
        <w:spacing w:line="360" w:lineRule="auto"/>
        <w:ind w:left="142"/>
      </w:pPr>
    </w:p>
    <w:p w14:paraId="03E4486E" w14:textId="20860D6F" w:rsidR="0002570C" w:rsidRDefault="0002570C" w:rsidP="0002570C">
      <w:pPr>
        <w:pStyle w:val="BodyText"/>
        <w:spacing w:before="105"/>
        <w:ind w:left="118"/>
        <w:rPr>
          <w:color w:val="2E74B5" w:themeColor="accent1" w:themeShade="BF"/>
          <w:u w:val="single" w:color="0000FF"/>
        </w:rPr>
      </w:pPr>
      <w:r w:rsidRPr="00506C5C">
        <w:t xml:space="preserve">All Other Queries – </w:t>
      </w:r>
      <w:hyperlink r:id="rId31">
        <w:r w:rsidRPr="00792096">
          <w:rPr>
            <w:color w:val="2E74B5" w:themeColor="accent1" w:themeShade="BF"/>
            <w:u w:val="single" w:color="0000FF"/>
          </w:rPr>
          <w:t>LGFPSettlement@Gov.wales</w:t>
        </w:r>
      </w:hyperlink>
    </w:p>
    <w:p w14:paraId="67BB4F58" w14:textId="5D4B0FA2" w:rsidR="00773093" w:rsidRPr="00BF418A" w:rsidRDefault="00773093" w:rsidP="002360CF">
      <w:pPr>
        <w:pStyle w:val="BodyText"/>
        <w:spacing w:before="105"/>
        <w:rPr>
          <w:color w:val="0000FF"/>
          <w:highlight w:val="yellow"/>
          <w:u w:val="single" w:color="0000FF"/>
        </w:rPr>
      </w:pPr>
    </w:p>
    <w:p w14:paraId="2AA8E102" w14:textId="468C5509" w:rsidR="00471510" w:rsidRDefault="002360CF">
      <w:pPr>
        <w:widowControl/>
        <w:autoSpaceDE/>
        <w:autoSpaceDN/>
        <w:spacing w:after="160" w:line="259" w:lineRule="auto"/>
        <w:rPr>
          <w:b/>
          <w:sz w:val="24"/>
          <w:szCs w:val="24"/>
        </w:rPr>
      </w:pPr>
      <w:bookmarkStart w:id="9" w:name="lookup"/>
      <w:bookmarkEnd w:id="9"/>
      <w:r w:rsidRPr="002360CF">
        <w:rPr>
          <w:b/>
          <w:sz w:val="24"/>
          <w:szCs w:val="24"/>
        </w:rPr>
        <w:t>Breakdown of food and trading premises lookup spreadsheet:</w:t>
      </w:r>
    </w:p>
    <w:p w14:paraId="17DFC354" w14:textId="580AF59A" w:rsidR="00773093" w:rsidRPr="002360CF" w:rsidRDefault="00471510">
      <w:pPr>
        <w:widowControl/>
        <w:autoSpaceDE/>
        <w:autoSpaceDN/>
        <w:spacing w:after="160" w:line="259" w:lineRule="auto"/>
        <w:rPr>
          <w:b/>
          <w:color w:val="0000FF"/>
          <w:sz w:val="24"/>
          <w:szCs w:val="24"/>
          <w:highlight w:val="yellow"/>
        </w:rPr>
      </w:pPr>
      <w:r>
        <w:object w:dxaOrig="1376" w:dyaOrig="899" w14:anchorId="57BE5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preadsheet of the breakdown of which food and trading premises categories are used" style="width:79.5pt;height:52.35pt" o:ole="">
            <v:imagedata r:id="rId32" o:title=""/>
          </v:shape>
          <o:OLEObject Type="Embed" ProgID="Excel.Sheet.12" ShapeID="_x0000_i1025" DrawAspect="Icon" ObjectID="_1758542578" r:id="rId33"/>
        </w:object>
      </w:r>
      <w:r w:rsidR="00773093" w:rsidRPr="002360CF">
        <w:rPr>
          <w:b/>
          <w:color w:val="0000FF"/>
          <w:sz w:val="24"/>
          <w:szCs w:val="24"/>
          <w:highlight w:val="yellow"/>
        </w:rPr>
        <w:br w:type="page"/>
      </w:r>
    </w:p>
    <w:p w14:paraId="7E55379E" w14:textId="77777777" w:rsidR="00773093" w:rsidRPr="00C00CB1" w:rsidRDefault="00773093" w:rsidP="00E33DB6">
      <w:pPr>
        <w:pStyle w:val="Heading1"/>
        <w:jc w:val="right"/>
      </w:pPr>
      <w:bookmarkStart w:id="10" w:name="_Annex_B"/>
      <w:bookmarkStart w:id="11" w:name="_Ref116573370"/>
      <w:bookmarkEnd w:id="10"/>
      <w:r w:rsidRPr="00C00CB1">
        <w:lastRenderedPageBreak/>
        <w:t>Annex B</w:t>
      </w:r>
      <w:bookmarkEnd w:id="11"/>
    </w:p>
    <w:p w14:paraId="26439AE4" w14:textId="77777777" w:rsidR="00B75B32" w:rsidRPr="00C00CB1" w:rsidRDefault="00B75B32"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p>
    <w:p w14:paraId="0A99E54A" w14:textId="68C8BA3A" w:rsidR="00773093" w:rsidRPr="000637BE" w:rsidRDefault="00773093"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12" w:name="ClaimantCount"/>
      <w:bookmarkEnd w:id="12"/>
      <w:r w:rsidRPr="000637BE">
        <w:rPr>
          <w:rFonts w:ascii="Arial" w:eastAsia="Times New Roman" w:hAnsi="Arial" w:cs="Times New Roman"/>
          <w:b/>
          <w:snapToGrid w:val="0"/>
          <w:color w:val="auto"/>
          <w:sz w:val="24"/>
          <w:szCs w:val="20"/>
          <w:lang w:eastAsia="en-US" w:bidi="ar-SA"/>
        </w:rPr>
        <w:t>How to obtain DWP 1</w:t>
      </w:r>
      <w:r w:rsidR="00C1774B" w:rsidRPr="000637BE">
        <w:rPr>
          <w:rFonts w:ascii="Arial" w:eastAsia="Times New Roman" w:hAnsi="Arial" w:cs="Times New Roman"/>
          <w:b/>
          <w:snapToGrid w:val="0"/>
          <w:color w:val="auto"/>
          <w:sz w:val="24"/>
          <w:szCs w:val="20"/>
          <w:lang w:eastAsia="en-US" w:bidi="ar-SA"/>
        </w:rPr>
        <w:t>1</w:t>
      </w:r>
      <w:r w:rsidRPr="000637BE">
        <w:rPr>
          <w:rFonts w:ascii="Arial" w:eastAsia="Times New Roman" w:hAnsi="Arial" w:cs="Times New Roman"/>
          <w:b/>
          <w:snapToGrid w:val="0"/>
          <w:color w:val="auto"/>
          <w:sz w:val="24"/>
          <w:szCs w:val="20"/>
          <w:lang w:eastAsia="en-US" w:bidi="ar-SA"/>
        </w:rPr>
        <w:t xml:space="preserve"> month Claimant Count Data from NOMIS</w:t>
      </w:r>
    </w:p>
    <w:p w14:paraId="4CFDEDCC" w14:textId="77777777" w:rsidR="00773093" w:rsidRPr="000637BE" w:rsidRDefault="00773093" w:rsidP="00773093">
      <w:pPr>
        <w:pStyle w:val="NormalArial"/>
        <w:rPr>
          <w:b/>
          <w:color w:val="FF0000"/>
        </w:rPr>
      </w:pPr>
    </w:p>
    <w:p w14:paraId="44988180" w14:textId="6AFFF63B" w:rsidR="00773093" w:rsidRPr="000637BE" w:rsidRDefault="00773093" w:rsidP="00773093">
      <w:pPr>
        <w:pStyle w:val="NormalArial"/>
        <w:rPr>
          <w:sz w:val="22"/>
          <w:szCs w:val="22"/>
        </w:rPr>
      </w:pPr>
      <w:r w:rsidRPr="000637BE">
        <w:rPr>
          <w:sz w:val="22"/>
          <w:szCs w:val="22"/>
        </w:rPr>
        <w:t xml:space="preserve">Go to the following web page: </w:t>
      </w:r>
      <w:hyperlink r:id="rId34" w:history="1">
        <w:r w:rsidR="006C4B87" w:rsidRPr="006C4B87">
          <w:rPr>
            <w:rStyle w:val="Hyperlink"/>
            <w:sz w:val="22"/>
            <w:szCs w:val="22"/>
          </w:rPr>
          <w:t>http://www.nomisweb.co.uk</w:t>
        </w:r>
      </w:hyperlink>
      <w:r w:rsidR="006C4B87" w:rsidRPr="006C4B87" w:rsidDel="006C4B87">
        <w:rPr>
          <w:sz w:val="22"/>
          <w:szCs w:val="22"/>
        </w:rPr>
        <w:t xml:space="preserve"> </w:t>
      </w:r>
      <w:r w:rsidRPr="000637BE">
        <w:rPr>
          <w:sz w:val="22"/>
          <w:szCs w:val="22"/>
        </w:rPr>
        <w:t xml:space="preserve">and click on “Data Downloads” and ‘Query data’. </w:t>
      </w:r>
    </w:p>
    <w:p w14:paraId="29ACF5E6" w14:textId="77777777" w:rsidR="00773093" w:rsidRPr="000637BE" w:rsidRDefault="00773093" w:rsidP="00773093">
      <w:pPr>
        <w:jc w:val="both"/>
        <w:rPr>
          <w:color w:val="FF0000"/>
        </w:rPr>
      </w:pPr>
    </w:p>
    <w:p w14:paraId="6B624FB2" w14:textId="77777777" w:rsidR="00773093" w:rsidRPr="000637BE" w:rsidRDefault="00773093" w:rsidP="00773093">
      <w:pPr>
        <w:jc w:val="both"/>
        <w:rPr>
          <w:color w:val="FF0000"/>
        </w:rPr>
      </w:pPr>
      <w:r w:rsidRPr="000637BE">
        <w:t>Select 'Claimant count', 'claimant count by sex and age’</w:t>
      </w:r>
    </w:p>
    <w:p w14:paraId="35984305" w14:textId="77777777" w:rsidR="00773093" w:rsidRPr="000637BE" w:rsidRDefault="00773093" w:rsidP="00773093">
      <w:pPr>
        <w:pStyle w:val="NormalArial"/>
        <w:numPr>
          <w:ilvl w:val="0"/>
          <w:numId w:val="12"/>
        </w:numPr>
        <w:rPr>
          <w:sz w:val="22"/>
          <w:szCs w:val="22"/>
        </w:rPr>
      </w:pPr>
      <w:r w:rsidRPr="000637BE">
        <w:rPr>
          <w:sz w:val="22"/>
          <w:szCs w:val="22"/>
        </w:rPr>
        <w:t>Geography:</w:t>
      </w:r>
    </w:p>
    <w:p w14:paraId="2D4FEB43" w14:textId="77777777" w:rsidR="00773093" w:rsidRPr="000637BE" w:rsidRDefault="00773093" w:rsidP="00773093">
      <w:pPr>
        <w:pStyle w:val="NormalArial"/>
        <w:numPr>
          <w:ilvl w:val="0"/>
          <w:numId w:val="13"/>
        </w:numPr>
        <w:rPr>
          <w:sz w:val="22"/>
          <w:szCs w:val="22"/>
        </w:rPr>
      </w:pPr>
      <w:r w:rsidRPr="000637BE">
        <w:rPr>
          <w:sz w:val="22"/>
          <w:szCs w:val="22"/>
        </w:rPr>
        <w:t>Click “geography” from the options menu on the left</w:t>
      </w:r>
    </w:p>
    <w:p w14:paraId="6E013803" w14:textId="04290F56" w:rsidR="00773093" w:rsidRPr="000637BE" w:rsidRDefault="00773093" w:rsidP="00773093">
      <w:pPr>
        <w:pStyle w:val="NormalArial"/>
        <w:numPr>
          <w:ilvl w:val="0"/>
          <w:numId w:val="13"/>
        </w:numPr>
        <w:rPr>
          <w:sz w:val="22"/>
          <w:szCs w:val="22"/>
        </w:rPr>
      </w:pPr>
      <w:r w:rsidRPr="000637BE">
        <w:rPr>
          <w:sz w:val="22"/>
          <w:szCs w:val="22"/>
        </w:rPr>
        <w:t xml:space="preserve">Then click “local authorities: county / unitary (as of April </w:t>
      </w:r>
      <w:r w:rsidR="00F70BEC" w:rsidRPr="000637BE">
        <w:rPr>
          <w:sz w:val="22"/>
          <w:szCs w:val="22"/>
        </w:rPr>
        <w:t>202</w:t>
      </w:r>
      <w:r w:rsidR="00501920">
        <w:rPr>
          <w:sz w:val="22"/>
          <w:szCs w:val="22"/>
        </w:rPr>
        <w:t>1</w:t>
      </w:r>
      <w:r w:rsidRPr="000637BE">
        <w:rPr>
          <w:sz w:val="22"/>
          <w:szCs w:val="22"/>
        </w:rPr>
        <w:t>)” and select “Wales” from the drop down menu and select ‘tick all’</w:t>
      </w:r>
    </w:p>
    <w:p w14:paraId="3FCEC0A7" w14:textId="77777777" w:rsidR="00773093" w:rsidRPr="000637BE" w:rsidRDefault="00773093" w:rsidP="00773093">
      <w:pPr>
        <w:pStyle w:val="NormalArial"/>
        <w:numPr>
          <w:ilvl w:val="0"/>
          <w:numId w:val="13"/>
        </w:numPr>
        <w:rPr>
          <w:sz w:val="22"/>
          <w:szCs w:val="22"/>
        </w:rPr>
      </w:pPr>
      <w:r w:rsidRPr="000637BE">
        <w:rPr>
          <w:sz w:val="22"/>
          <w:szCs w:val="22"/>
        </w:rPr>
        <w:t>Check the box next to the authority you wish to view data for</w:t>
      </w:r>
    </w:p>
    <w:p w14:paraId="79C1A05B" w14:textId="77777777" w:rsidR="00773093" w:rsidRPr="000637BE" w:rsidRDefault="00773093" w:rsidP="00773093">
      <w:pPr>
        <w:pStyle w:val="NormalArial"/>
        <w:numPr>
          <w:ilvl w:val="0"/>
          <w:numId w:val="12"/>
        </w:numPr>
        <w:rPr>
          <w:sz w:val="22"/>
          <w:szCs w:val="22"/>
        </w:rPr>
      </w:pPr>
      <w:r w:rsidRPr="000637BE">
        <w:rPr>
          <w:sz w:val="22"/>
          <w:szCs w:val="22"/>
        </w:rPr>
        <w:t>Date:</w:t>
      </w:r>
    </w:p>
    <w:p w14:paraId="1431AD29" w14:textId="77777777" w:rsidR="00773093" w:rsidRPr="000637BE" w:rsidRDefault="00773093" w:rsidP="00773093">
      <w:pPr>
        <w:pStyle w:val="NormalArial"/>
        <w:numPr>
          <w:ilvl w:val="0"/>
          <w:numId w:val="13"/>
        </w:numPr>
        <w:rPr>
          <w:sz w:val="22"/>
          <w:szCs w:val="22"/>
        </w:rPr>
      </w:pPr>
      <w:r w:rsidRPr="000637BE">
        <w:rPr>
          <w:sz w:val="22"/>
          <w:szCs w:val="22"/>
        </w:rPr>
        <w:t>Select “date” from the options menu on the left</w:t>
      </w:r>
    </w:p>
    <w:p w14:paraId="50CCB92A" w14:textId="3A0CC83A" w:rsidR="00773093" w:rsidRPr="000637BE" w:rsidRDefault="00773093" w:rsidP="00773093">
      <w:pPr>
        <w:pStyle w:val="NormalArial"/>
        <w:numPr>
          <w:ilvl w:val="0"/>
          <w:numId w:val="13"/>
        </w:numPr>
      </w:pPr>
      <w:r w:rsidRPr="000637BE">
        <w:rPr>
          <w:sz w:val="22"/>
          <w:szCs w:val="22"/>
        </w:rPr>
        <w:t>Select all dates from a start and end point</w:t>
      </w:r>
      <w:r w:rsidR="000F4817" w:rsidRPr="000637BE">
        <w:rPr>
          <w:sz w:val="22"/>
          <w:szCs w:val="22"/>
        </w:rPr>
        <w:t xml:space="preserve">.  </w:t>
      </w:r>
      <w:r w:rsidRPr="000637BE">
        <w:rPr>
          <w:sz w:val="22"/>
          <w:szCs w:val="22"/>
        </w:rPr>
        <w:t xml:space="preserve">Select a start date of </w:t>
      </w:r>
      <w:r w:rsidR="00C1774B" w:rsidRPr="000637BE">
        <w:rPr>
          <w:b/>
          <w:sz w:val="22"/>
          <w:szCs w:val="22"/>
        </w:rPr>
        <w:t>October</w:t>
      </w:r>
      <w:r w:rsidR="00C00CB1" w:rsidRPr="000637BE">
        <w:rPr>
          <w:b/>
          <w:sz w:val="22"/>
          <w:szCs w:val="22"/>
        </w:rPr>
        <w:t xml:space="preserve"> </w:t>
      </w:r>
      <w:r w:rsidR="00F70BEC" w:rsidRPr="000637BE">
        <w:rPr>
          <w:b/>
          <w:sz w:val="22"/>
          <w:szCs w:val="22"/>
        </w:rPr>
        <w:t>202</w:t>
      </w:r>
      <w:r w:rsidR="000637BE" w:rsidRPr="000637BE">
        <w:rPr>
          <w:b/>
          <w:sz w:val="22"/>
          <w:szCs w:val="22"/>
        </w:rPr>
        <w:t>2</w:t>
      </w:r>
      <w:r w:rsidRPr="000637BE">
        <w:rPr>
          <w:sz w:val="22"/>
          <w:szCs w:val="22"/>
        </w:rPr>
        <w:t xml:space="preserve"> and end date of </w:t>
      </w:r>
      <w:r w:rsidR="000F3FDC" w:rsidRPr="000637BE">
        <w:rPr>
          <w:b/>
          <w:sz w:val="22"/>
          <w:szCs w:val="22"/>
        </w:rPr>
        <w:t xml:space="preserve">August </w:t>
      </w:r>
      <w:r w:rsidR="00F70BEC" w:rsidRPr="000637BE">
        <w:rPr>
          <w:b/>
          <w:sz w:val="22"/>
          <w:szCs w:val="22"/>
        </w:rPr>
        <w:t>202</w:t>
      </w:r>
      <w:r w:rsidR="000637BE" w:rsidRPr="000637BE">
        <w:rPr>
          <w:b/>
          <w:sz w:val="22"/>
          <w:szCs w:val="22"/>
        </w:rPr>
        <w:t>3</w:t>
      </w:r>
      <w:r w:rsidR="000F4817" w:rsidRPr="000637BE">
        <w:rPr>
          <w:sz w:val="22"/>
          <w:szCs w:val="22"/>
        </w:rPr>
        <w:t xml:space="preserve">.  </w:t>
      </w:r>
    </w:p>
    <w:p w14:paraId="58E84DBC" w14:textId="7A2A10C7" w:rsidR="00773093" w:rsidRPr="000637BE" w:rsidRDefault="00773093" w:rsidP="00773093">
      <w:pPr>
        <w:pStyle w:val="NormalArial"/>
        <w:numPr>
          <w:ilvl w:val="0"/>
          <w:numId w:val="6"/>
        </w:numPr>
        <w:rPr>
          <w:sz w:val="22"/>
          <w:szCs w:val="22"/>
        </w:rPr>
      </w:pPr>
      <w:r w:rsidRPr="000637BE">
        <w:rPr>
          <w:sz w:val="22"/>
          <w:szCs w:val="22"/>
        </w:rPr>
        <w:t>Age:</w:t>
      </w:r>
    </w:p>
    <w:p w14:paraId="62FAF817" w14:textId="77777777" w:rsidR="00773093" w:rsidRPr="000637BE" w:rsidRDefault="00773093" w:rsidP="00773093">
      <w:pPr>
        <w:pStyle w:val="NormalArial"/>
        <w:numPr>
          <w:ilvl w:val="0"/>
          <w:numId w:val="13"/>
        </w:numPr>
        <w:rPr>
          <w:sz w:val="22"/>
          <w:szCs w:val="22"/>
        </w:rPr>
      </w:pPr>
      <w:r w:rsidRPr="000637BE">
        <w:rPr>
          <w:sz w:val="22"/>
          <w:szCs w:val="22"/>
        </w:rPr>
        <w:t>Click on user defined, select 16 plus</w:t>
      </w:r>
    </w:p>
    <w:p w14:paraId="510C7F8B" w14:textId="77777777" w:rsidR="00773093" w:rsidRPr="000637BE" w:rsidRDefault="00773093" w:rsidP="00773093">
      <w:pPr>
        <w:pStyle w:val="NormalArial"/>
      </w:pPr>
    </w:p>
    <w:p w14:paraId="6785D4A1" w14:textId="77777777" w:rsidR="00773093" w:rsidRPr="00C00CB1" w:rsidRDefault="00773093" w:rsidP="00773093">
      <w:pPr>
        <w:pStyle w:val="NormalArial"/>
        <w:jc w:val="both"/>
        <w:rPr>
          <w:sz w:val="22"/>
        </w:rPr>
      </w:pPr>
      <w:r w:rsidRPr="000637BE">
        <w:rPr>
          <w:sz w:val="22"/>
        </w:rPr>
        <w:t>Download data and open to view your data</w:t>
      </w:r>
    </w:p>
    <w:p w14:paraId="143B1C3A" w14:textId="77777777" w:rsidR="00773093" w:rsidRPr="00BF418A" w:rsidRDefault="00773093" w:rsidP="00773093">
      <w:pPr>
        <w:pStyle w:val="NormalArial"/>
        <w:rPr>
          <w:highlight w:val="yellow"/>
        </w:rPr>
      </w:pPr>
    </w:p>
    <w:p w14:paraId="3AB69A96" w14:textId="77777777" w:rsidR="00773093" w:rsidRPr="00BF418A" w:rsidRDefault="00773093" w:rsidP="00773093">
      <w:pPr>
        <w:rPr>
          <w:highlight w:val="yellow"/>
        </w:rPr>
      </w:pPr>
    </w:p>
    <w:p w14:paraId="0A554B35" w14:textId="77777777" w:rsidR="00773093" w:rsidRPr="00C00CB1" w:rsidRDefault="00773093" w:rsidP="00421DAE">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13" w:name="UC"/>
      <w:bookmarkEnd w:id="13"/>
      <w:r w:rsidRPr="00C00CB1">
        <w:rPr>
          <w:rFonts w:ascii="Arial" w:eastAsia="Times New Roman" w:hAnsi="Arial" w:cs="Times New Roman"/>
          <w:b/>
          <w:snapToGrid w:val="0"/>
          <w:color w:val="auto"/>
          <w:sz w:val="24"/>
          <w:szCs w:val="20"/>
          <w:lang w:eastAsia="en-US" w:bidi="ar-SA"/>
        </w:rPr>
        <w:t xml:space="preserve">How to obtain Universal Credit (not in employment) data from </w:t>
      </w:r>
      <w:hyperlink r:id="rId35" w:history="1">
        <w:r w:rsidRPr="00C00CB1">
          <w:rPr>
            <w:rFonts w:ascii="Arial" w:eastAsia="Times New Roman" w:hAnsi="Arial" w:cs="Times New Roman"/>
            <w:b/>
            <w:snapToGrid w:val="0"/>
            <w:color w:val="auto"/>
            <w:sz w:val="24"/>
            <w:szCs w:val="20"/>
            <w:lang w:eastAsia="en-US" w:bidi="ar-SA"/>
          </w:rPr>
          <w:t>Stat-Xplore</w:t>
        </w:r>
      </w:hyperlink>
    </w:p>
    <w:p w14:paraId="0532D426" w14:textId="77777777" w:rsidR="00773093" w:rsidRPr="00C00CB1" w:rsidRDefault="00773093" w:rsidP="00773093">
      <w:pPr>
        <w:pStyle w:val="Heading1"/>
        <w:rPr>
          <w:b w:val="0"/>
        </w:rPr>
      </w:pPr>
    </w:p>
    <w:p w14:paraId="0A016982" w14:textId="57DCA946" w:rsidR="00773093" w:rsidRPr="00C00CB1" w:rsidRDefault="00773093" w:rsidP="00773093">
      <w:pPr>
        <w:pStyle w:val="Heading1"/>
        <w:rPr>
          <w:b w:val="0"/>
          <w:sz w:val="22"/>
          <w:szCs w:val="22"/>
        </w:rPr>
      </w:pPr>
      <w:r w:rsidRPr="00C00CB1">
        <w:rPr>
          <w:b w:val="0"/>
          <w:sz w:val="22"/>
          <w:szCs w:val="22"/>
        </w:rPr>
        <w:t>Firstly, go to the following web page:</w:t>
      </w:r>
      <w:r w:rsidRPr="00C00CB1">
        <w:t xml:space="preserve"> </w:t>
      </w:r>
      <w:hyperlink r:id="rId36" w:history="1">
        <w:r w:rsidRPr="00C00CB1">
          <w:rPr>
            <w:rStyle w:val="Hyperlink"/>
            <w:b w:val="0"/>
          </w:rPr>
          <w:t>https://stat-xplore.dwp.gov.uk/</w:t>
        </w:r>
      </w:hyperlink>
      <w:r w:rsidRPr="00C00CB1">
        <w:rPr>
          <w:b w:val="0"/>
          <w:sz w:val="22"/>
          <w:szCs w:val="22"/>
        </w:rPr>
        <w:t>, register an account and then log in</w:t>
      </w:r>
      <w:r w:rsidR="000F4817">
        <w:rPr>
          <w:b w:val="0"/>
          <w:sz w:val="22"/>
          <w:szCs w:val="22"/>
        </w:rPr>
        <w:t xml:space="preserve">.  </w:t>
      </w:r>
      <w:r w:rsidRPr="00C00CB1">
        <w:rPr>
          <w:b w:val="0"/>
          <w:sz w:val="22"/>
          <w:szCs w:val="22"/>
        </w:rPr>
        <w:t>Alternatively, select ‘guest log in’</w:t>
      </w:r>
      <w:r w:rsidR="000F4817">
        <w:rPr>
          <w:b w:val="0"/>
          <w:sz w:val="22"/>
          <w:szCs w:val="22"/>
        </w:rPr>
        <w:t xml:space="preserve">.  </w:t>
      </w:r>
    </w:p>
    <w:p w14:paraId="73396070" w14:textId="77777777" w:rsidR="00773093" w:rsidRPr="00C00CB1" w:rsidRDefault="00773093" w:rsidP="00773093">
      <w:pPr>
        <w:pStyle w:val="Heading1"/>
        <w:rPr>
          <w:b w:val="0"/>
          <w:sz w:val="22"/>
          <w:szCs w:val="22"/>
        </w:rPr>
      </w:pPr>
    </w:p>
    <w:p w14:paraId="7B359C13" w14:textId="77777777" w:rsidR="00773093" w:rsidRPr="00C00CB1" w:rsidRDefault="00773093" w:rsidP="00773093">
      <w:pPr>
        <w:pStyle w:val="Heading1"/>
        <w:rPr>
          <w:b w:val="0"/>
          <w:sz w:val="22"/>
          <w:szCs w:val="22"/>
        </w:rPr>
      </w:pPr>
      <w:r w:rsidRPr="00C00CB1">
        <w:rPr>
          <w:b w:val="0"/>
          <w:sz w:val="22"/>
          <w:szCs w:val="22"/>
        </w:rPr>
        <w:t>Click on ‘People on Universal Credit’ under the Universal Credit category and then select new table.</w:t>
      </w:r>
    </w:p>
    <w:p w14:paraId="52B17A9D" w14:textId="77777777" w:rsidR="00773093" w:rsidRPr="00C00CB1" w:rsidRDefault="00773093" w:rsidP="00773093"/>
    <w:p w14:paraId="7DB9C0A8" w14:textId="77777777" w:rsidR="00773093" w:rsidRPr="00C00CB1" w:rsidRDefault="00773093" w:rsidP="00773093">
      <w:r w:rsidRPr="00C00CB1">
        <w:t>Select the following on the left hand panel:</w:t>
      </w:r>
    </w:p>
    <w:p w14:paraId="5A20F540" w14:textId="0288ED5E" w:rsidR="00773093" w:rsidRPr="00C00CB1" w:rsidRDefault="00773093" w:rsidP="00773093">
      <w:pPr>
        <w:pStyle w:val="ListParagraph"/>
        <w:widowControl/>
        <w:numPr>
          <w:ilvl w:val="0"/>
          <w:numId w:val="16"/>
        </w:numPr>
        <w:autoSpaceDE/>
        <w:autoSpaceDN/>
        <w:contextualSpacing/>
      </w:pPr>
      <w:r w:rsidRPr="00C00CB1">
        <w:t>Expand ‘Month’ and un-tick the months selected then tick the months ‘</w:t>
      </w:r>
      <w:r w:rsidRPr="00C00CB1">
        <w:rPr>
          <w:b/>
        </w:rPr>
        <w:t xml:space="preserve">May </w:t>
      </w:r>
      <w:r w:rsidR="00F70BEC">
        <w:rPr>
          <w:b/>
        </w:rPr>
        <w:t>202</w:t>
      </w:r>
      <w:r w:rsidR="00565DC9">
        <w:rPr>
          <w:b/>
        </w:rPr>
        <w:t>2</w:t>
      </w:r>
      <w:r w:rsidRPr="00C00CB1">
        <w:t>’</w:t>
      </w:r>
      <w:r w:rsidR="000F4817">
        <w:t xml:space="preserve">.  </w:t>
      </w:r>
      <w:r w:rsidRPr="00C00CB1">
        <w:t>‘</w:t>
      </w:r>
      <w:r w:rsidRPr="00C00CB1">
        <w:rPr>
          <w:b/>
        </w:rPr>
        <w:t xml:space="preserve">August </w:t>
      </w:r>
      <w:r w:rsidR="00F70BEC">
        <w:rPr>
          <w:b/>
        </w:rPr>
        <w:t>202</w:t>
      </w:r>
      <w:r w:rsidR="00565DC9">
        <w:rPr>
          <w:b/>
        </w:rPr>
        <w:t>2</w:t>
      </w:r>
      <w:r w:rsidRPr="00C00CB1">
        <w:t>’, ‘</w:t>
      </w:r>
      <w:r w:rsidRPr="00C00CB1">
        <w:rPr>
          <w:b/>
        </w:rPr>
        <w:t xml:space="preserve">November </w:t>
      </w:r>
      <w:r w:rsidR="00F70BEC">
        <w:rPr>
          <w:b/>
        </w:rPr>
        <w:t>202</w:t>
      </w:r>
      <w:r w:rsidR="00565DC9">
        <w:rPr>
          <w:b/>
        </w:rPr>
        <w:t>2</w:t>
      </w:r>
      <w:r w:rsidRPr="00C00CB1">
        <w:t>’ and ‘</w:t>
      </w:r>
      <w:r w:rsidR="00C00CB1" w:rsidRPr="00C00CB1">
        <w:rPr>
          <w:b/>
        </w:rPr>
        <w:t xml:space="preserve">February </w:t>
      </w:r>
      <w:r w:rsidR="00F70BEC">
        <w:rPr>
          <w:b/>
        </w:rPr>
        <w:t>202</w:t>
      </w:r>
      <w:r w:rsidR="00565DC9">
        <w:rPr>
          <w:b/>
        </w:rPr>
        <w:t>3</w:t>
      </w:r>
      <w:r w:rsidRPr="00C00CB1">
        <w:t xml:space="preserve">’ and click add to ‘column’ (in the </w:t>
      </w:r>
      <w:r w:rsidR="005401D8" w:rsidRPr="00C00CB1">
        <w:t>blue</w:t>
      </w:r>
      <w:r w:rsidRPr="00C00CB1">
        <w:t xml:space="preserve"> box at the top left hand side).  </w:t>
      </w:r>
    </w:p>
    <w:p w14:paraId="3D6D7AC8" w14:textId="77777777" w:rsidR="00773093" w:rsidRPr="00C00CB1" w:rsidRDefault="00773093" w:rsidP="00773093"/>
    <w:p w14:paraId="2C0C1F07" w14:textId="34C7A6E2" w:rsidR="00773093" w:rsidRPr="00C00CB1" w:rsidRDefault="00773093" w:rsidP="00773093">
      <w:pPr>
        <w:pStyle w:val="ListParagraph"/>
        <w:widowControl/>
        <w:numPr>
          <w:ilvl w:val="0"/>
          <w:numId w:val="16"/>
        </w:numPr>
        <w:autoSpaceDE/>
        <w:autoSpaceDN/>
        <w:contextualSpacing/>
      </w:pPr>
      <w:r w:rsidRPr="00C00CB1">
        <w:t>Expand ‘geography (</w:t>
      </w:r>
      <w:r w:rsidR="00161311" w:rsidRPr="00C00CB1">
        <w:t>residence-</w:t>
      </w:r>
      <w:r w:rsidRPr="00C00CB1">
        <w:t>based</w:t>
      </w:r>
      <w:r w:rsidR="00DC04CD" w:rsidRPr="00C00CB1">
        <w:t>)’ then ‘National -</w:t>
      </w:r>
      <w:r w:rsidRPr="00C00CB1">
        <w:t xml:space="preserve"> Regional – LA - OAs’ click on each folder until you get to ‘Wales [22]’ and click on your local authority</w:t>
      </w:r>
      <w:r w:rsidR="000F4817">
        <w:t xml:space="preserve">.  </w:t>
      </w:r>
      <w:r w:rsidRPr="00C00CB1">
        <w:t xml:space="preserve">Click add to ‘row’ (in the </w:t>
      </w:r>
      <w:r w:rsidR="00DC04CD" w:rsidRPr="00C00CB1">
        <w:t>blue</w:t>
      </w:r>
      <w:r w:rsidRPr="00C00CB1">
        <w:t xml:space="preserve"> box at the top left hand side).  </w:t>
      </w:r>
    </w:p>
    <w:p w14:paraId="680F173F" w14:textId="77777777" w:rsidR="00773093" w:rsidRPr="00C00CB1" w:rsidRDefault="00773093" w:rsidP="00773093">
      <w:pPr>
        <w:pStyle w:val="ListParagraph"/>
      </w:pPr>
    </w:p>
    <w:p w14:paraId="25FBC592" w14:textId="6214399D" w:rsidR="00773093" w:rsidRPr="00C00CB1" w:rsidRDefault="00773093" w:rsidP="00773093">
      <w:pPr>
        <w:pStyle w:val="ListParagraph"/>
        <w:widowControl/>
        <w:numPr>
          <w:ilvl w:val="0"/>
          <w:numId w:val="16"/>
        </w:numPr>
        <w:autoSpaceDE/>
        <w:autoSpaceDN/>
        <w:contextualSpacing/>
      </w:pPr>
      <w:r w:rsidRPr="00C00CB1">
        <w:t>Expand ‘age (bands and single year)’ and select the appropriate age bands i.e. 18 to 64 or all ages</w:t>
      </w:r>
      <w:r w:rsidR="000F4817">
        <w:t xml:space="preserve">.  </w:t>
      </w:r>
      <w:r w:rsidRPr="00C00CB1">
        <w:t>Click add to ‘</w:t>
      </w:r>
      <w:r w:rsidR="00DC04CD" w:rsidRPr="00C00CB1">
        <w:t xml:space="preserve">Wafer’ </w:t>
      </w:r>
      <w:r w:rsidRPr="00C00CB1">
        <w:t xml:space="preserve">(in the </w:t>
      </w:r>
      <w:r w:rsidR="00DC04CD" w:rsidRPr="00C00CB1">
        <w:t>blue</w:t>
      </w:r>
      <w:r w:rsidRPr="00C00CB1">
        <w:t xml:space="preserve"> box at the top left hand side)</w:t>
      </w:r>
      <w:r w:rsidR="000F4817">
        <w:t xml:space="preserve">.  </w:t>
      </w:r>
      <w:r w:rsidR="00DC04CD" w:rsidRPr="00C00CB1">
        <w:t xml:space="preserve">A wafer dropdown will show above the </w:t>
      </w:r>
      <w:r w:rsidR="00312A26" w:rsidRPr="00C00CB1">
        <w:t>month’s</w:t>
      </w:r>
      <w:r w:rsidR="00DC04CD" w:rsidRPr="00C00CB1">
        <w:t xml:space="preserve"> section, within this box select ‘Total’.</w:t>
      </w:r>
    </w:p>
    <w:p w14:paraId="46D74B47" w14:textId="77777777" w:rsidR="00773093" w:rsidRPr="00C00CB1" w:rsidRDefault="00773093" w:rsidP="00773093"/>
    <w:p w14:paraId="4C6FC972" w14:textId="1187AA43" w:rsidR="00773093" w:rsidRPr="00C00CB1" w:rsidRDefault="00773093" w:rsidP="00773093">
      <w:pPr>
        <w:pStyle w:val="ListParagraph"/>
        <w:widowControl/>
        <w:numPr>
          <w:ilvl w:val="0"/>
          <w:numId w:val="16"/>
        </w:numPr>
        <w:autoSpaceDE/>
        <w:autoSpaceDN/>
        <w:contextualSpacing/>
      </w:pPr>
      <w:r w:rsidRPr="00C00CB1">
        <w:t>Expand ‘employment indicator’ and select ‘Not in employment’</w:t>
      </w:r>
      <w:r w:rsidR="000F4817">
        <w:t xml:space="preserve">.  </w:t>
      </w:r>
      <w:r w:rsidRPr="00C00CB1">
        <w:t xml:space="preserve">Click add to ‘Filter’ (in the purple box at the top left hand side).  </w:t>
      </w:r>
    </w:p>
    <w:p w14:paraId="778FEE68" w14:textId="77777777" w:rsidR="00773093" w:rsidRPr="00C00CB1" w:rsidRDefault="00773093" w:rsidP="00773093"/>
    <w:p w14:paraId="67B9FD5F" w14:textId="22C49200" w:rsidR="00773093" w:rsidRPr="00C00CB1" w:rsidRDefault="00773093" w:rsidP="00773093">
      <w:r w:rsidRPr="00C00CB1">
        <w:t>Go to ‘download table’ on the top right hand side of the screen, select ‘excel 2007’ then click ‘Go’ and ‘open’ your downloaded data</w:t>
      </w:r>
      <w:r w:rsidR="000F4817">
        <w:t xml:space="preserve">.  </w:t>
      </w:r>
      <w:r w:rsidR="00357F0C" w:rsidRPr="00C00CB1">
        <w:t>Once downloaded, a separate tab will be available for each age Wafer, you will only need to use the total value tab (the final tab).</w:t>
      </w:r>
    </w:p>
    <w:p w14:paraId="653A0D6F" w14:textId="77777777" w:rsidR="00773093" w:rsidRPr="00EE4007" w:rsidRDefault="00773093" w:rsidP="00773093">
      <w:pPr>
        <w:pStyle w:val="NormalArial"/>
        <w:rPr>
          <w:sz w:val="22"/>
          <w:szCs w:val="22"/>
        </w:rPr>
      </w:pPr>
    </w:p>
    <w:p w14:paraId="7F22590D" w14:textId="77777777" w:rsidR="00773093" w:rsidRPr="00EE4007" w:rsidRDefault="00773093" w:rsidP="00773093">
      <w:pPr>
        <w:pStyle w:val="Heading2"/>
        <w:rPr>
          <w:color w:val="auto"/>
        </w:rPr>
      </w:pPr>
      <w:r w:rsidRPr="00EE4007">
        <w:rPr>
          <w:b/>
          <w:color w:val="auto"/>
        </w:rPr>
        <w:t xml:space="preserve">How to obtain Personal Independence Payment data from </w:t>
      </w:r>
      <w:hyperlink r:id="rId37" w:history="1">
        <w:r w:rsidRPr="00EE4007">
          <w:rPr>
            <w:b/>
            <w:color w:val="auto"/>
          </w:rPr>
          <w:t>Stat-Xplore</w:t>
        </w:r>
      </w:hyperlink>
    </w:p>
    <w:p w14:paraId="63BF3FFB" w14:textId="77777777" w:rsidR="00773093" w:rsidRPr="00EE4007" w:rsidRDefault="00773093" w:rsidP="00773093">
      <w:pPr>
        <w:pStyle w:val="Heading1"/>
        <w:rPr>
          <w:b w:val="0"/>
        </w:rPr>
      </w:pPr>
    </w:p>
    <w:p w14:paraId="3B066E8E" w14:textId="73DAA3A2" w:rsidR="00773093" w:rsidRPr="00EE4007" w:rsidRDefault="00773093" w:rsidP="00773093">
      <w:pPr>
        <w:pStyle w:val="Heading1"/>
        <w:rPr>
          <w:b w:val="0"/>
          <w:sz w:val="22"/>
          <w:szCs w:val="22"/>
        </w:rPr>
      </w:pPr>
      <w:r w:rsidRPr="00EE4007">
        <w:rPr>
          <w:b w:val="0"/>
          <w:sz w:val="22"/>
          <w:szCs w:val="22"/>
        </w:rPr>
        <w:t>Firstly, go to the following web page:</w:t>
      </w:r>
      <w:r w:rsidRPr="00EE4007">
        <w:t xml:space="preserve"> </w:t>
      </w:r>
      <w:hyperlink r:id="rId38" w:history="1">
        <w:r w:rsidRPr="00EE4007">
          <w:rPr>
            <w:rStyle w:val="Hyperlink"/>
            <w:b w:val="0"/>
            <w:color w:val="auto"/>
          </w:rPr>
          <w:t>https://stat-xplore.dwp.gov.uk/</w:t>
        </w:r>
      </w:hyperlink>
      <w:r w:rsidRPr="00EE4007">
        <w:rPr>
          <w:b w:val="0"/>
        </w:rPr>
        <w:t xml:space="preserve"> </w:t>
      </w:r>
      <w:r w:rsidRPr="00EE4007">
        <w:rPr>
          <w:b w:val="0"/>
          <w:sz w:val="22"/>
          <w:szCs w:val="22"/>
        </w:rPr>
        <w:t>and register an account and then log in</w:t>
      </w:r>
      <w:r w:rsidR="000F4817">
        <w:rPr>
          <w:b w:val="0"/>
          <w:sz w:val="22"/>
          <w:szCs w:val="22"/>
        </w:rPr>
        <w:t xml:space="preserve">.  </w:t>
      </w:r>
      <w:r w:rsidRPr="00EE4007">
        <w:rPr>
          <w:b w:val="0"/>
          <w:sz w:val="22"/>
          <w:szCs w:val="22"/>
        </w:rPr>
        <w:t xml:space="preserve">Alternatively, select ‘guest log in’. </w:t>
      </w:r>
    </w:p>
    <w:p w14:paraId="00CC066C" w14:textId="77777777" w:rsidR="00773093" w:rsidRPr="00EE4007" w:rsidRDefault="00773093" w:rsidP="00773093">
      <w:pPr>
        <w:pStyle w:val="Heading1"/>
        <w:rPr>
          <w:b w:val="0"/>
          <w:sz w:val="22"/>
          <w:szCs w:val="22"/>
        </w:rPr>
      </w:pPr>
    </w:p>
    <w:p w14:paraId="2E1EFFA1" w14:textId="77777777" w:rsidR="00773093" w:rsidRPr="00EE4007" w:rsidRDefault="00773093" w:rsidP="00773093">
      <w:pPr>
        <w:pStyle w:val="Heading1"/>
        <w:rPr>
          <w:b w:val="0"/>
          <w:sz w:val="22"/>
          <w:szCs w:val="22"/>
        </w:rPr>
      </w:pPr>
      <w:r w:rsidRPr="00EE4007">
        <w:rPr>
          <w:b w:val="0"/>
          <w:sz w:val="22"/>
          <w:szCs w:val="22"/>
        </w:rPr>
        <w:t xml:space="preserve">Click on ‘PIP </w:t>
      </w:r>
      <w:r w:rsidR="00EE4007" w:rsidRPr="00EE4007">
        <w:rPr>
          <w:b w:val="0"/>
          <w:sz w:val="22"/>
          <w:szCs w:val="22"/>
        </w:rPr>
        <w:t>Cases with Entitlement</w:t>
      </w:r>
      <w:r w:rsidRPr="00EE4007">
        <w:rPr>
          <w:b w:val="0"/>
          <w:sz w:val="22"/>
          <w:szCs w:val="22"/>
        </w:rPr>
        <w:t xml:space="preserve"> under the Personal Independence Payment category and </w:t>
      </w:r>
      <w:r w:rsidRPr="00EE4007">
        <w:rPr>
          <w:b w:val="0"/>
          <w:sz w:val="22"/>
          <w:szCs w:val="22"/>
        </w:rPr>
        <w:lastRenderedPageBreak/>
        <w:t>then select new table.</w:t>
      </w:r>
    </w:p>
    <w:p w14:paraId="76418546" w14:textId="77777777" w:rsidR="00773093" w:rsidRPr="00EE4007" w:rsidRDefault="00773093" w:rsidP="00773093"/>
    <w:p w14:paraId="4AA2C634" w14:textId="77777777" w:rsidR="00773093" w:rsidRPr="00EE4007" w:rsidRDefault="00773093" w:rsidP="00773093">
      <w:r w:rsidRPr="00EE4007">
        <w:t>Select the following on the left hand panel:</w:t>
      </w:r>
    </w:p>
    <w:p w14:paraId="619A8D2F" w14:textId="6C2B25EE" w:rsidR="00773093" w:rsidRPr="00EE4007" w:rsidRDefault="00773093" w:rsidP="00773093">
      <w:pPr>
        <w:pStyle w:val="ListParagraph"/>
        <w:widowControl/>
        <w:numPr>
          <w:ilvl w:val="0"/>
          <w:numId w:val="16"/>
        </w:numPr>
        <w:autoSpaceDE/>
        <w:autoSpaceDN/>
        <w:contextualSpacing/>
      </w:pPr>
      <w:r w:rsidRPr="00EE4007">
        <w:t xml:space="preserve">Expand ‘Month’ and un-tick the </w:t>
      </w:r>
      <w:r w:rsidR="00B75B32" w:rsidRPr="00EE4007">
        <w:t>months</w:t>
      </w:r>
      <w:r w:rsidRPr="00EE4007">
        <w:t xml:space="preserve"> selected then tick the months ‘</w:t>
      </w:r>
      <w:r w:rsidRPr="00EE4007">
        <w:rPr>
          <w:b/>
        </w:rPr>
        <w:t xml:space="preserve">May </w:t>
      </w:r>
      <w:r w:rsidR="00F70BEC">
        <w:rPr>
          <w:b/>
        </w:rPr>
        <w:t>202</w:t>
      </w:r>
      <w:r w:rsidR="00B72444">
        <w:rPr>
          <w:b/>
        </w:rPr>
        <w:t>2</w:t>
      </w:r>
      <w:r w:rsidRPr="00EE4007">
        <w:t>’</w:t>
      </w:r>
      <w:r w:rsidR="000F4817">
        <w:t xml:space="preserve">.  </w:t>
      </w:r>
      <w:r w:rsidRPr="00EE4007">
        <w:t>‘</w:t>
      </w:r>
      <w:r w:rsidRPr="00EE4007">
        <w:rPr>
          <w:b/>
        </w:rPr>
        <w:t xml:space="preserve">August </w:t>
      </w:r>
      <w:r w:rsidR="00F70BEC">
        <w:rPr>
          <w:b/>
        </w:rPr>
        <w:t>202</w:t>
      </w:r>
      <w:r w:rsidR="00B72444">
        <w:rPr>
          <w:b/>
        </w:rPr>
        <w:t>2</w:t>
      </w:r>
      <w:r w:rsidR="00623E6C" w:rsidRPr="00EE4007">
        <w:t>’</w:t>
      </w:r>
      <w:r w:rsidRPr="00EE4007">
        <w:t>, ‘</w:t>
      </w:r>
      <w:r w:rsidRPr="00EE4007">
        <w:rPr>
          <w:b/>
        </w:rPr>
        <w:t xml:space="preserve">November </w:t>
      </w:r>
      <w:r w:rsidR="00F70BEC">
        <w:rPr>
          <w:b/>
        </w:rPr>
        <w:t>202</w:t>
      </w:r>
      <w:r w:rsidR="00B72444">
        <w:rPr>
          <w:b/>
        </w:rPr>
        <w:t>2</w:t>
      </w:r>
      <w:r w:rsidR="00623E6C" w:rsidRPr="00EE4007">
        <w:t>’</w:t>
      </w:r>
      <w:r w:rsidRPr="00EE4007">
        <w:t>and ‘</w:t>
      </w:r>
      <w:r w:rsidR="00C00CB1" w:rsidRPr="00EE4007">
        <w:rPr>
          <w:b/>
        </w:rPr>
        <w:t xml:space="preserve">February </w:t>
      </w:r>
      <w:r w:rsidR="00F70BEC">
        <w:rPr>
          <w:b/>
        </w:rPr>
        <w:t>202</w:t>
      </w:r>
      <w:r w:rsidR="00B72444">
        <w:rPr>
          <w:b/>
        </w:rPr>
        <w:t>3</w:t>
      </w:r>
      <w:r w:rsidRPr="00EE4007">
        <w:t xml:space="preserve">’ and click add to ‘column’ (in the </w:t>
      </w:r>
      <w:r w:rsidR="009B54DC" w:rsidRPr="00EE4007">
        <w:t>blue</w:t>
      </w:r>
      <w:r w:rsidRPr="00EE4007">
        <w:t xml:space="preserve"> box at the top left hand side).  </w:t>
      </w:r>
    </w:p>
    <w:p w14:paraId="01272B2E" w14:textId="77777777" w:rsidR="00773093" w:rsidRPr="00EE4007" w:rsidRDefault="00773093" w:rsidP="00773093"/>
    <w:p w14:paraId="56B034CA" w14:textId="6806337E" w:rsidR="00773093" w:rsidRPr="00EE4007" w:rsidRDefault="00773093" w:rsidP="00773093">
      <w:pPr>
        <w:pStyle w:val="ListParagraph"/>
        <w:widowControl/>
        <w:numPr>
          <w:ilvl w:val="0"/>
          <w:numId w:val="16"/>
        </w:numPr>
        <w:autoSpaceDE/>
        <w:autoSpaceDN/>
        <w:contextualSpacing/>
      </w:pPr>
      <w:r w:rsidRPr="00EE4007">
        <w:t>Expand ‘geography (</w:t>
      </w:r>
      <w:r w:rsidR="007F18FC" w:rsidRPr="00EE4007">
        <w:t>residence-</w:t>
      </w:r>
      <w:r w:rsidRPr="00EE4007">
        <w:t>based)’ then ‘Country – Region – Local Authority’ click on each folder until you get to ‘Wales [22]’ and click on your local authority</w:t>
      </w:r>
      <w:r w:rsidR="000F4817">
        <w:t xml:space="preserve">.  </w:t>
      </w:r>
      <w:r w:rsidRPr="00EE4007">
        <w:t xml:space="preserve">Click add to ‘row’ (in the </w:t>
      </w:r>
      <w:r w:rsidR="007F18FC" w:rsidRPr="00EE4007">
        <w:t>blue</w:t>
      </w:r>
      <w:r w:rsidRPr="00EE4007">
        <w:t xml:space="preserve"> box at the top left hand side).  </w:t>
      </w:r>
    </w:p>
    <w:p w14:paraId="40E60240" w14:textId="77777777" w:rsidR="00773093" w:rsidRPr="00EE4007" w:rsidRDefault="00773093" w:rsidP="00773093">
      <w:pPr>
        <w:pStyle w:val="ListParagraph"/>
      </w:pPr>
    </w:p>
    <w:p w14:paraId="52F12086" w14:textId="70F15FF7" w:rsidR="00773093" w:rsidRPr="00EE4007" w:rsidRDefault="00773093" w:rsidP="00773093">
      <w:pPr>
        <w:pStyle w:val="ListParagraph"/>
        <w:widowControl/>
        <w:numPr>
          <w:ilvl w:val="0"/>
          <w:numId w:val="16"/>
        </w:numPr>
        <w:autoSpaceDE/>
        <w:autoSpaceDN/>
        <w:contextualSpacing/>
      </w:pPr>
      <w:r w:rsidRPr="00EE4007">
        <w:t>Expand ‘age (bands and single year)’ and select the appropriate age bands</w:t>
      </w:r>
      <w:r w:rsidR="000F4817">
        <w:t xml:space="preserve">.  </w:t>
      </w:r>
      <w:r w:rsidRPr="00EE4007">
        <w:t>You will need to expand 16-19 and 60-65 bands to select age 18 to 64</w:t>
      </w:r>
      <w:r w:rsidR="000F4817">
        <w:t xml:space="preserve">.  </w:t>
      </w:r>
      <w:r w:rsidRPr="00EE4007">
        <w:t>Click add to ‘</w:t>
      </w:r>
      <w:r w:rsidR="007F18FC" w:rsidRPr="00EE4007">
        <w:t>Wafer</w:t>
      </w:r>
      <w:r w:rsidRPr="00EE4007">
        <w:t xml:space="preserve"> (in the </w:t>
      </w:r>
      <w:r w:rsidR="007F18FC" w:rsidRPr="00EE4007">
        <w:t>blue</w:t>
      </w:r>
      <w:r w:rsidRPr="00EE4007">
        <w:t xml:space="preserve"> box at the top left hand side).  </w:t>
      </w:r>
    </w:p>
    <w:p w14:paraId="07799544" w14:textId="77777777" w:rsidR="00773093" w:rsidRPr="00EE4007" w:rsidRDefault="00773093" w:rsidP="00773093"/>
    <w:p w14:paraId="5E600A59" w14:textId="72AC050E" w:rsidR="00773093" w:rsidRPr="00EE4007" w:rsidRDefault="00773093" w:rsidP="00773093">
      <w:r w:rsidRPr="00EE4007">
        <w:t>Go to ‘download table’ on the top right hand side of the screen, select ‘excel 2007’ then click ‘Go’ and ‘open’ your downloaded data</w:t>
      </w:r>
      <w:r w:rsidR="000F4817">
        <w:t xml:space="preserve">.  </w:t>
      </w:r>
      <w:r w:rsidR="00357F0C" w:rsidRPr="00EE4007">
        <w:t>Once downloaded, a separate tab will be available for each age Wafer, you will only need to use the total value tab (the final tab).</w:t>
      </w:r>
    </w:p>
    <w:p w14:paraId="2579DE76" w14:textId="77777777" w:rsidR="00773093" w:rsidRPr="00EE4007" w:rsidRDefault="00773093" w:rsidP="00773093">
      <w:pPr>
        <w:pStyle w:val="NormalArial"/>
        <w:rPr>
          <w:sz w:val="22"/>
          <w:szCs w:val="22"/>
        </w:rPr>
      </w:pPr>
    </w:p>
    <w:p w14:paraId="4F581E72" w14:textId="79D8F351" w:rsidR="00773093" w:rsidRPr="00EE4007" w:rsidRDefault="00773093" w:rsidP="00773093">
      <w:pPr>
        <w:pStyle w:val="NormalArial"/>
        <w:rPr>
          <w:sz w:val="22"/>
          <w:szCs w:val="22"/>
        </w:rPr>
      </w:pPr>
      <w:r w:rsidRPr="00EE4007">
        <w:rPr>
          <w:sz w:val="22"/>
          <w:szCs w:val="22"/>
        </w:rPr>
        <w:t>Once one of the datasets is selected, the data can be tailored to your needs by using the options on the left</w:t>
      </w:r>
      <w:r w:rsidR="000F4817">
        <w:rPr>
          <w:sz w:val="22"/>
          <w:szCs w:val="22"/>
        </w:rPr>
        <w:t xml:space="preserve">.  </w:t>
      </w:r>
      <w:r w:rsidRPr="00EE4007">
        <w:rPr>
          <w:sz w:val="22"/>
          <w:szCs w:val="22"/>
        </w:rPr>
        <w:t>Each of the indicator values is obtained by summing the figures from 2 or 3 datasets as outlined below.</w:t>
      </w:r>
    </w:p>
    <w:p w14:paraId="0294E37E" w14:textId="77777777" w:rsidR="009B54DC" w:rsidRPr="00BF418A" w:rsidRDefault="009B54DC" w:rsidP="009B54DC">
      <w:pPr>
        <w:pStyle w:val="NormalArial"/>
        <w:rPr>
          <w:sz w:val="22"/>
          <w:szCs w:val="22"/>
          <w:highlight w:val="yellow"/>
        </w:rPr>
      </w:pPr>
    </w:p>
    <w:p w14:paraId="24E817B7" w14:textId="77777777" w:rsidR="009B54DC" w:rsidRPr="0029086B" w:rsidRDefault="009B54DC" w:rsidP="009B54DC">
      <w:pPr>
        <w:pStyle w:val="NormalArial"/>
        <w:rPr>
          <w:rFonts w:asciiTheme="majorHAnsi" w:hAnsiTheme="majorHAnsi" w:cstheme="majorBidi"/>
          <w:b/>
          <w:sz w:val="26"/>
        </w:rPr>
      </w:pPr>
      <w:bookmarkStart w:id="14" w:name="DWPClaimants"/>
      <w:bookmarkEnd w:id="14"/>
      <w:r w:rsidRPr="0029086B">
        <w:rPr>
          <w:rFonts w:asciiTheme="majorHAnsi" w:hAnsiTheme="majorHAnsi" w:cstheme="majorBidi"/>
          <w:b/>
          <w:sz w:val="26"/>
        </w:rPr>
        <w:t>How to obtain DWP Claimant Data from Stat-xplore</w:t>
      </w:r>
    </w:p>
    <w:p w14:paraId="76E29122" w14:textId="77777777" w:rsidR="009B54DC" w:rsidRPr="0029086B" w:rsidRDefault="009B54DC" w:rsidP="009B54DC">
      <w:pPr>
        <w:pStyle w:val="NormalArial"/>
        <w:rPr>
          <w:sz w:val="22"/>
          <w:szCs w:val="22"/>
        </w:rPr>
      </w:pPr>
    </w:p>
    <w:p w14:paraId="6CE6CB65" w14:textId="77777777" w:rsidR="009B54DC" w:rsidRPr="0029086B" w:rsidRDefault="009B54DC" w:rsidP="009B54DC">
      <w:pPr>
        <w:pStyle w:val="NormalArial"/>
        <w:rPr>
          <w:b/>
          <w:sz w:val="22"/>
          <w:szCs w:val="22"/>
        </w:rPr>
      </w:pPr>
      <w:r w:rsidRPr="0029086B">
        <w:rPr>
          <w:b/>
          <w:sz w:val="22"/>
          <w:szCs w:val="22"/>
        </w:rPr>
        <w:t>Datasets Used:</w:t>
      </w:r>
    </w:p>
    <w:p w14:paraId="6D15E03E" w14:textId="77777777" w:rsidR="009B54DC" w:rsidRPr="0029086B" w:rsidRDefault="009B54DC" w:rsidP="009B54DC">
      <w:pPr>
        <w:pStyle w:val="NormalArial"/>
        <w:numPr>
          <w:ilvl w:val="0"/>
          <w:numId w:val="17"/>
        </w:numPr>
        <w:rPr>
          <w:sz w:val="22"/>
          <w:szCs w:val="22"/>
        </w:rPr>
      </w:pPr>
      <w:r w:rsidRPr="0029086B">
        <w:rPr>
          <w:sz w:val="22"/>
          <w:szCs w:val="22"/>
        </w:rPr>
        <w:t xml:space="preserve">Income Support – </w:t>
      </w:r>
      <w:r w:rsidRPr="0029086B">
        <w:rPr>
          <w:rFonts w:eastAsia="Arial"/>
          <w:sz w:val="22"/>
          <w:szCs w:val="22"/>
        </w:rPr>
        <w:t xml:space="preserve">income support </w:t>
      </w:r>
    </w:p>
    <w:p w14:paraId="7B48A2C8" w14:textId="77777777" w:rsidR="009B54DC" w:rsidRPr="0029086B" w:rsidRDefault="009B54DC" w:rsidP="009B54DC">
      <w:pPr>
        <w:pStyle w:val="NormalArial"/>
        <w:numPr>
          <w:ilvl w:val="0"/>
          <w:numId w:val="17"/>
        </w:numPr>
        <w:rPr>
          <w:sz w:val="22"/>
          <w:szCs w:val="22"/>
        </w:rPr>
      </w:pPr>
      <w:r w:rsidRPr="0029086B">
        <w:rPr>
          <w:sz w:val="22"/>
          <w:szCs w:val="22"/>
        </w:rPr>
        <w:t xml:space="preserve">Pension Credit – </w:t>
      </w:r>
      <w:r w:rsidRPr="0029086B">
        <w:rPr>
          <w:rFonts w:eastAsia="Arial"/>
          <w:sz w:val="22"/>
          <w:szCs w:val="22"/>
        </w:rPr>
        <w:t>pension credits</w:t>
      </w:r>
      <w:r w:rsidR="006A65B6" w:rsidRPr="0029086B">
        <w:rPr>
          <w:rStyle w:val="Hyperlink"/>
          <w:rFonts w:eastAsia="Arial"/>
          <w:color w:val="auto"/>
          <w:sz w:val="22"/>
          <w:szCs w:val="22"/>
          <w:u w:val="none"/>
        </w:rPr>
        <w:t xml:space="preserve"> from May 2018</w:t>
      </w:r>
    </w:p>
    <w:p w14:paraId="2C99C107" w14:textId="77777777" w:rsidR="009B54DC" w:rsidRPr="0029086B" w:rsidRDefault="006A65B6" w:rsidP="009B54DC">
      <w:pPr>
        <w:pStyle w:val="NormalArial"/>
        <w:numPr>
          <w:ilvl w:val="0"/>
          <w:numId w:val="17"/>
        </w:numPr>
        <w:rPr>
          <w:sz w:val="22"/>
          <w:szCs w:val="22"/>
        </w:rPr>
      </w:pPr>
      <w:r w:rsidRPr="0029086B">
        <w:rPr>
          <w:sz w:val="22"/>
          <w:szCs w:val="22"/>
        </w:rPr>
        <w:t>Incapacity Benefits &amp;</w:t>
      </w:r>
      <w:r w:rsidR="00FC7565" w:rsidRPr="0029086B">
        <w:rPr>
          <w:sz w:val="22"/>
          <w:szCs w:val="22"/>
        </w:rPr>
        <w:t xml:space="preserve"> </w:t>
      </w:r>
      <w:r w:rsidR="009B54DC" w:rsidRPr="0029086B">
        <w:rPr>
          <w:sz w:val="22"/>
          <w:szCs w:val="22"/>
        </w:rPr>
        <w:t xml:space="preserve">Severe Disablement Allowance – </w:t>
      </w:r>
      <w:r w:rsidR="009B54DC" w:rsidRPr="0029086B">
        <w:rPr>
          <w:rFonts w:eastAsia="Arial"/>
          <w:sz w:val="22"/>
          <w:szCs w:val="22"/>
        </w:rPr>
        <w:t xml:space="preserve">incapacity benefit </w:t>
      </w:r>
      <w:r w:rsidRPr="0029086B">
        <w:rPr>
          <w:rFonts w:eastAsia="Arial"/>
          <w:sz w:val="22"/>
          <w:szCs w:val="22"/>
        </w:rPr>
        <w:t>and</w:t>
      </w:r>
      <w:r w:rsidR="009B54DC" w:rsidRPr="0029086B">
        <w:rPr>
          <w:rFonts w:eastAsia="Arial"/>
          <w:sz w:val="22"/>
          <w:szCs w:val="22"/>
        </w:rPr>
        <w:t xml:space="preserve"> severe disablement </w:t>
      </w:r>
      <w:r w:rsidR="00FC7565" w:rsidRPr="0029086B">
        <w:rPr>
          <w:sz w:val="22"/>
          <w:szCs w:val="22"/>
        </w:rPr>
        <w:t>allowance</w:t>
      </w:r>
    </w:p>
    <w:p w14:paraId="218EF273" w14:textId="77777777" w:rsidR="009B54DC" w:rsidRPr="0029086B" w:rsidRDefault="009B54DC" w:rsidP="009B54DC">
      <w:pPr>
        <w:pStyle w:val="NormalArial"/>
        <w:numPr>
          <w:ilvl w:val="0"/>
          <w:numId w:val="17"/>
        </w:numPr>
        <w:rPr>
          <w:sz w:val="22"/>
          <w:szCs w:val="22"/>
        </w:rPr>
      </w:pPr>
      <w:r w:rsidRPr="0029086B">
        <w:rPr>
          <w:sz w:val="22"/>
          <w:szCs w:val="22"/>
        </w:rPr>
        <w:t xml:space="preserve">Disability Living Allowance – </w:t>
      </w:r>
      <w:r w:rsidR="006A65B6" w:rsidRPr="0029086B">
        <w:rPr>
          <w:sz w:val="22"/>
          <w:szCs w:val="22"/>
        </w:rPr>
        <w:t>Disability Living Allowance: Entitled Cases – data from May 2018</w:t>
      </w:r>
    </w:p>
    <w:p w14:paraId="03F7F581" w14:textId="77777777" w:rsidR="00EE4007" w:rsidRPr="0029086B" w:rsidRDefault="00EE4007" w:rsidP="009B54DC">
      <w:pPr>
        <w:pStyle w:val="NormalArial"/>
        <w:numPr>
          <w:ilvl w:val="0"/>
          <w:numId w:val="17"/>
        </w:numPr>
        <w:rPr>
          <w:sz w:val="22"/>
          <w:szCs w:val="22"/>
        </w:rPr>
      </w:pPr>
      <w:r w:rsidRPr="0029086B">
        <w:rPr>
          <w:sz w:val="22"/>
          <w:szCs w:val="22"/>
        </w:rPr>
        <w:t>Jobseekers Allowance</w:t>
      </w:r>
    </w:p>
    <w:p w14:paraId="5A921387" w14:textId="77777777" w:rsidR="009B54DC" w:rsidRPr="0029086B" w:rsidRDefault="009B54DC" w:rsidP="009B54DC">
      <w:pPr>
        <w:pStyle w:val="NormalArial"/>
        <w:rPr>
          <w:sz w:val="22"/>
          <w:szCs w:val="22"/>
        </w:rPr>
      </w:pPr>
    </w:p>
    <w:p w14:paraId="31040EB1" w14:textId="1AD4B53E" w:rsidR="009B54DC" w:rsidRPr="0029086B" w:rsidRDefault="009B54DC" w:rsidP="009B54DC">
      <w:pPr>
        <w:pStyle w:val="Heading1"/>
        <w:rPr>
          <w:b w:val="0"/>
          <w:sz w:val="22"/>
          <w:szCs w:val="22"/>
        </w:rPr>
      </w:pPr>
      <w:r w:rsidRPr="0029086B">
        <w:rPr>
          <w:b w:val="0"/>
          <w:sz w:val="22"/>
          <w:szCs w:val="22"/>
        </w:rPr>
        <w:t>Firstly, go to the following web page:</w:t>
      </w:r>
      <w:r w:rsidRPr="0029086B">
        <w:t xml:space="preserve"> </w:t>
      </w:r>
      <w:hyperlink r:id="rId39" w:history="1">
        <w:r w:rsidRPr="0029086B">
          <w:rPr>
            <w:rStyle w:val="Hyperlink"/>
            <w:b w:val="0"/>
          </w:rPr>
          <w:t>https://stat-xplore.dwp.gov.uk/</w:t>
        </w:r>
      </w:hyperlink>
      <w:r w:rsidRPr="0029086B">
        <w:rPr>
          <w:b w:val="0"/>
        </w:rPr>
        <w:t xml:space="preserve"> </w:t>
      </w:r>
      <w:r w:rsidRPr="0029086B">
        <w:rPr>
          <w:b w:val="0"/>
          <w:sz w:val="22"/>
          <w:szCs w:val="22"/>
        </w:rPr>
        <w:t>and register an account and then log in</w:t>
      </w:r>
      <w:r w:rsidR="000F4817">
        <w:rPr>
          <w:b w:val="0"/>
          <w:sz w:val="22"/>
          <w:szCs w:val="22"/>
        </w:rPr>
        <w:t xml:space="preserve">.  </w:t>
      </w:r>
      <w:r w:rsidRPr="0029086B">
        <w:rPr>
          <w:b w:val="0"/>
          <w:sz w:val="22"/>
          <w:szCs w:val="22"/>
        </w:rPr>
        <w:t xml:space="preserve">Alternatively, select ‘guest log in’. </w:t>
      </w:r>
    </w:p>
    <w:p w14:paraId="03B45E51" w14:textId="77777777" w:rsidR="00B75B32" w:rsidRPr="0029086B" w:rsidRDefault="00B75B32" w:rsidP="00B75B32">
      <w:pPr>
        <w:pStyle w:val="NormalArial"/>
        <w:rPr>
          <w:rStyle w:val="Hyperlink"/>
          <w:rFonts w:eastAsia="Arial"/>
          <w:color w:val="auto"/>
          <w:sz w:val="22"/>
          <w:szCs w:val="22"/>
        </w:rPr>
      </w:pPr>
    </w:p>
    <w:p w14:paraId="3992FDE0" w14:textId="77777777" w:rsidR="009B54DC" w:rsidRPr="0029086B" w:rsidRDefault="009B54DC" w:rsidP="009B54DC">
      <w:pPr>
        <w:pStyle w:val="NormalArial"/>
        <w:rPr>
          <w:b/>
          <w:sz w:val="22"/>
          <w:szCs w:val="22"/>
        </w:rPr>
      </w:pPr>
      <w:r w:rsidRPr="0029086B">
        <w:rPr>
          <w:b/>
          <w:sz w:val="22"/>
          <w:szCs w:val="22"/>
        </w:rPr>
        <w:t>Options:</w:t>
      </w:r>
    </w:p>
    <w:p w14:paraId="572259E8" w14:textId="77777777" w:rsidR="009B54DC" w:rsidRPr="0029086B" w:rsidRDefault="009B54DC" w:rsidP="009B54DC">
      <w:pPr>
        <w:pStyle w:val="NormalArial"/>
        <w:rPr>
          <w:sz w:val="22"/>
          <w:szCs w:val="22"/>
        </w:rPr>
      </w:pPr>
      <w:r w:rsidRPr="0029086B">
        <w:rPr>
          <w:sz w:val="22"/>
          <w:szCs w:val="22"/>
        </w:rPr>
        <w:t>The following are options that are to be set the same when downloading all datasets:</w:t>
      </w:r>
    </w:p>
    <w:p w14:paraId="5BE009D2" w14:textId="77777777" w:rsidR="006A65B6" w:rsidRPr="0029086B" w:rsidRDefault="006A65B6" w:rsidP="006A65B6">
      <w:pPr>
        <w:pStyle w:val="Heading1"/>
        <w:rPr>
          <w:b w:val="0"/>
          <w:sz w:val="22"/>
          <w:szCs w:val="22"/>
        </w:rPr>
      </w:pPr>
    </w:p>
    <w:p w14:paraId="3CE5B6C0" w14:textId="77777777" w:rsidR="006A65B6" w:rsidRPr="0029086B" w:rsidRDefault="006A65B6" w:rsidP="006A65B6">
      <w:pPr>
        <w:pStyle w:val="ListParagraph"/>
        <w:widowControl/>
        <w:numPr>
          <w:ilvl w:val="0"/>
          <w:numId w:val="18"/>
        </w:numPr>
        <w:autoSpaceDE/>
        <w:autoSpaceDN/>
        <w:contextualSpacing/>
      </w:pPr>
      <w:r w:rsidRPr="0029086B">
        <w:t>Click on table name as specific above and then select new table.</w:t>
      </w:r>
    </w:p>
    <w:p w14:paraId="53A0A815" w14:textId="77777777" w:rsidR="006A65B6" w:rsidRPr="0029086B" w:rsidRDefault="006A65B6" w:rsidP="009B54DC">
      <w:pPr>
        <w:pStyle w:val="NormalArial"/>
        <w:rPr>
          <w:sz w:val="22"/>
          <w:szCs w:val="22"/>
        </w:rPr>
      </w:pPr>
    </w:p>
    <w:p w14:paraId="555D20A5" w14:textId="77777777" w:rsidR="009B54DC" w:rsidRPr="0029086B" w:rsidRDefault="009B54DC" w:rsidP="009B54DC">
      <w:r w:rsidRPr="0029086B">
        <w:t>Select the following on the left hand panel:</w:t>
      </w:r>
    </w:p>
    <w:p w14:paraId="70BA2CCF" w14:textId="19C6D6E8" w:rsidR="009B54DC" w:rsidRPr="0029086B" w:rsidRDefault="009B54DC" w:rsidP="009B54DC">
      <w:pPr>
        <w:pStyle w:val="ListParagraph"/>
        <w:widowControl/>
        <w:numPr>
          <w:ilvl w:val="0"/>
          <w:numId w:val="18"/>
        </w:numPr>
        <w:autoSpaceDE/>
        <w:autoSpaceDN/>
        <w:contextualSpacing/>
      </w:pPr>
      <w:r w:rsidRPr="0029086B">
        <w:t>Expand ‘Month’ and un-tick the months selected then tick the months ‘</w:t>
      </w:r>
      <w:r w:rsidR="00780917">
        <w:rPr>
          <w:b/>
        </w:rPr>
        <w:t xml:space="preserve">May </w:t>
      </w:r>
      <w:r w:rsidR="00F70BEC">
        <w:rPr>
          <w:b/>
        </w:rPr>
        <w:t>202</w:t>
      </w:r>
      <w:r w:rsidR="00B72444">
        <w:rPr>
          <w:b/>
        </w:rPr>
        <w:t>2</w:t>
      </w:r>
      <w:r w:rsidRPr="0029086B">
        <w:t>’</w:t>
      </w:r>
      <w:r w:rsidR="000F4817">
        <w:t xml:space="preserve">.  </w:t>
      </w:r>
      <w:r w:rsidRPr="0029086B">
        <w:t>‘</w:t>
      </w:r>
      <w:r w:rsidR="00780917">
        <w:rPr>
          <w:b/>
        </w:rPr>
        <w:t xml:space="preserve">August </w:t>
      </w:r>
      <w:r w:rsidR="00F70BEC">
        <w:rPr>
          <w:b/>
        </w:rPr>
        <w:t>202</w:t>
      </w:r>
      <w:r w:rsidR="00B72444">
        <w:rPr>
          <w:b/>
        </w:rPr>
        <w:t>2</w:t>
      </w:r>
      <w:r w:rsidRPr="0029086B">
        <w:t>’, ‘</w:t>
      </w:r>
      <w:r w:rsidR="00780917">
        <w:rPr>
          <w:b/>
        </w:rPr>
        <w:t xml:space="preserve">November </w:t>
      </w:r>
      <w:r w:rsidR="00F70BEC">
        <w:rPr>
          <w:b/>
        </w:rPr>
        <w:t>202</w:t>
      </w:r>
      <w:r w:rsidR="00B72444">
        <w:rPr>
          <w:b/>
        </w:rPr>
        <w:t>2</w:t>
      </w:r>
      <w:r w:rsidRPr="0029086B">
        <w:t>’ and ‘</w:t>
      </w:r>
      <w:r w:rsidR="00780917">
        <w:rPr>
          <w:b/>
        </w:rPr>
        <w:t xml:space="preserve">February </w:t>
      </w:r>
      <w:r w:rsidR="00F70BEC">
        <w:rPr>
          <w:b/>
        </w:rPr>
        <w:t>202</w:t>
      </w:r>
      <w:r w:rsidR="00B72444">
        <w:rPr>
          <w:b/>
        </w:rPr>
        <w:t>3</w:t>
      </w:r>
      <w:r w:rsidRPr="0029086B">
        <w:t xml:space="preserve">’ and click add to ‘column’ (in the </w:t>
      </w:r>
      <w:r w:rsidR="00FC7565" w:rsidRPr="0029086B">
        <w:t>blue</w:t>
      </w:r>
      <w:r w:rsidRPr="0029086B">
        <w:t xml:space="preserve"> box at the top left hand side).  </w:t>
      </w:r>
    </w:p>
    <w:p w14:paraId="3155FD5B" w14:textId="77777777" w:rsidR="009B54DC" w:rsidRPr="0029086B" w:rsidRDefault="009B54DC" w:rsidP="009B54DC"/>
    <w:p w14:paraId="4AE56526" w14:textId="2CE764A5" w:rsidR="009B54DC" w:rsidRPr="0029086B" w:rsidRDefault="009B54DC" w:rsidP="009B54DC">
      <w:pPr>
        <w:pStyle w:val="ListParagraph"/>
        <w:widowControl/>
        <w:numPr>
          <w:ilvl w:val="0"/>
          <w:numId w:val="18"/>
        </w:numPr>
        <w:autoSpaceDE/>
        <w:autoSpaceDN/>
        <w:contextualSpacing/>
      </w:pPr>
      <w:r w:rsidRPr="0029086B">
        <w:t>Expand ‘geography (</w:t>
      </w:r>
      <w:r w:rsidR="006A65B6" w:rsidRPr="0029086B">
        <w:t>residence-</w:t>
      </w:r>
      <w:r w:rsidRPr="0029086B">
        <w:t>based)’ then ‘</w:t>
      </w:r>
      <w:r w:rsidR="00FC7565" w:rsidRPr="0029086B">
        <w:t>National</w:t>
      </w:r>
      <w:r w:rsidRPr="0029086B">
        <w:t xml:space="preserve"> – Region</w:t>
      </w:r>
      <w:r w:rsidR="00FC7565" w:rsidRPr="0029086B">
        <w:t>al</w:t>
      </w:r>
      <w:r w:rsidRPr="0029086B">
        <w:t xml:space="preserve"> – </w:t>
      </w:r>
      <w:r w:rsidR="00FC7565" w:rsidRPr="0029086B">
        <w:t>LA- OAs’</w:t>
      </w:r>
      <w:r w:rsidRPr="0029086B">
        <w:t xml:space="preserve"> click on each folder until you get to ‘Wales [22]’ and click on your local authority</w:t>
      </w:r>
      <w:r w:rsidR="000F4817">
        <w:t xml:space="preserve">.  </w:t>
      </w:r>
      <w:r w:rsidRPr="0029086B">
        <w:t xml:space="preserve">Click add to ‘row’ (in the </w:t>
      </w:r>
      <w:r w:rsidR="00FC7565" w:rsidRPr="0029086B">
        <w:t>blue</w:t>
      </w:r>
      <w:r w:rsidRPr="0029086B">
        <w:t xml:space="preserve"> box at the top left hand side).  </w:t>
      </w:r>
    </w:p>
    <w:p w14:paraId="5D663B85" w14:textId="77777777" w:rsidR="00FC7565" w:rsidRPr="0029086B" w:rsidRDefault="00FC7565" w:rsidP="00FC7565">
      <w:pPr>
        <w:pStyle w:val="ListParagraph"/>
      </w:pPr>
    </w:p>
    <w:p w14:paraId="3606398E" w14:textId="04B4680C" w:rsidR="00FC7565" w:rsidRPr="0029086B" w:rsidRDefault="00FC7565" w:rsidP="00FC7565">
      <w:pPr>
        <w:pStyle w:val="ListParagraph"/>
        <w:widowControl/>
        <w:numPr>
          <w:ilvl w:val="0"/>
          <w:numId w:val="18"/>
        </w:numPr>
        <w:autoSpaceDE/>
        <w:autoSpaceDN/>
        <w:contextualSpacing/>
      </w:pPr>
      <w:r w:rsidRPr="0029086B">
        <w:t>Expand ‘age (bands and single year)’ and select the appropriate age bands</w:t>
      </w:r>
      <w:r w:rsidR="000F4817">
        <w:t xml:space="preserve">.  </w:t>
      </w:r>
      <w:r w:rsidRPr="0029086B">
        <w:t>In some cases, you will need to expand 16-19 and 60-65 bands to select age 18 to 64</w:t>
      </w:r>
      <w:r w:rsidR="000F4817">
        <w:t xml:space="preserve">.  </w:t>
      </w:r>
      <w:r w:rsidRPr="0029086B">
        <w:t xml:space="preserve">Click add to ‘Wafer (in the blue box at the top left hand side).  </w:t>
      </w:r>
    </w:p>
    <w:p w14:paraId="27DAC711" w14:textId="77777777" w:rsidR="00357F0C" w:rsidRPr="0029086B" w:rsidRDefault="00357F0C" w:rsidP="00357F0C">
      <w:pPr>
        <w:pStyle w:val="ListParagraph"/>
      </w:pPr>
    </w:p>
    <w:p w14:paraId="0F139FC9" w14:textId="77777777" w:rsidR="00FC7565" w:rsidRPr="0029086B" w:rsidRDefault="00357F0C" w:rsidP="0029086B">
      <w:pPr>
        <w:pStyle w:val="ListParagraph"/>
        <w:widowControl/>
        <w:numPr>
          <w:ilvl w:val="0"/>
          <w:numId w:val="18"/>
        </w:numPr>
        <w:autoSpaceDE/>
        <w:autoSpaceDN/>
        <w:contextualSpacing/>
      </w:pPr>
      <w:r w:rsidRPr="0029086B">
        <w:t>For the “Severe Disablement Allowance” table you will also need to expand ‘Benefit Combination’ and tick ‘SDA’ and add to the filter.</w:t>
      </w:r>
    </w:p>
    <w:p w14:paraId="7EE595DE" w14:textId="77777777" w:rsidR="0029086B" w:rsidRPr="0029086B" w:rsidRDefault="0029086B" w:rsidP="0029086B">
      <w:pPr>
        <w:pStyle w:val="ListParagraph"/>
      </w:pPr>
    </w:p>
    <w:p w14:paraId="48B35A29" w14:textId="77777777" w:rsidR="0029086B" w:rsidRPr="0029086B" w:rsidRDefault="0029086B" w:rsidP="0029086B">
      <w:pPr>
        <w:widowControl/>
        <w:autoSpaceDE/>
        <w:autoSpaceDN/>
        <w:contextualSpacing/>
      </w:pPr>
    </w:p>
    <w:p w14:paraId="2396C21E" w14:textId="4D545BA8" w:rsidR="00357F0C" w:rsidRPr="0029086B" w:rsidRDefault="00357F0C" w:rsidP="00357F0C">
      <w:r w:rsidRPr="0029086B">
        <w:lastRenderedPageBreak/>
        <w:t>Go to ‘download table’ on the top right hand side of the screen, select ‘excel 2007’ then click ‘Go’ and ‘open’ your downloaded data</w:t>
      </w:r>
      <w:r w:rsidR="000F4817">
        <w:t xml:space="preserve">.  </w:t>
      </w:r>
      <w:r w:rsidRPr="0029086B">
        <w:t>Once downloaded, a separate tab will be available for each age Wafer, you will only need to use the total value tab (the final tab).</w:t>
      </w:r>
    </w:p>
    <w:p w14:paraId="69A1CFF7" w14:textId="77777777" w:rsidR="00357F0C" w:rsidRPr="0029086B" w:rsidRDefault="00357F0C" w:rsidP="00357F0C">
      <w:pPr>
        <w:pStyle w:val="ListParagraph"/>
        <w:widowControl/>
        <w:autoSpaceDE/>
        <w:autoSpaceDN/>
        <w:ind w:left="720" w:firstLine="0"/>
        <w:contextualSpacing/>
      </w:pPr>
    </w:p>
    <w:p w14:paraId="7FB4131D" w14:textId="77777777" w:rsidR="00773093" w:rsidRPr="0029086B" w:rsidRDefault="00773093" w:rsidP="00773093">
      <w:pPr>
        <w:pStyle w:val="NormalArial"/>
        <w:rPr>
          <w:b/>
          <w:sz w:val="22"/>
          <w:szCs w:val="22"/>
        </w:rPr>
      </w:pPr>
      <w:r w:rsidRPr="0029086B">
        <w:rPr>
          <w:b/>
          <w:sz w:val="22"/>
          <w:szCs w:val="22"/>
        </w:rPr>
        <w:t>Summing Datasets to obtain the indicator figures:</w:t>
      </w:r>
    </w:p>
    <w:p w14:paraId="3A4E3E51" w14:textId="1D9D9B0E" w:rsidR="00773093" w:rsidRPr="0029086B" w:rsidRDefault="00773093" w:rsidP="00773093">
      <w:pPr>
        <w:pStyle w:val="NormalArial"/>
        <w:rPr>
          <w:sz w:val="22"/>
          <w:szCs w:val="22"/>
        </w:rPr>
      </w:pPr>
      <w:r w:rsidRPr="0029086B">
        <w:rPr>
          <w:sz w:val="22"/>
          <w:szCs w:val="22"/>
        </w:rPr>
        <w:t xml:space="preserve">You should now have </w:t>
      </w:r>
      <w:r w:rsidR="00196B81" w:rsidRPr="0029086B">
        <w:rPr>
          <w:sz w:val="22"/>
          <w:szCs w:val="22"/>
        </w:rPr>
        <w:t>10 sets of data as follows:</w:t>
      </w:r>
    </w:p>
    <w:p w14:paraId="66B969CA" w14:textId="65599991" w:rsidR="00773093" w:rsidRPr="0029086B" w:rsidRDefault="00196B81" w:rsidP="00773093">
      <w:pPr>
        <w:pStyle w:val="NormalArial"/>
        <w:numPr>
          <w:ilvl w:val="0"/>
          <w:numId w:val="14"/>
        </w:numPr>
        <w:rPr>
          <w:sz w:val="22"/>
          <w:szCs w:val="22"/>
        </w:rPr>
      </w:pPr>
      <w:r w:rsidRPr="0029086B">
        <w:rPr>
          <w:sz w:val="22"/>
          <w:szCs w:val="22"/>
        </w:rPr>
        <w:t>income support, 18-64 year olds</w:t>
      </w:r>
    </w:p>
    <w:p w14:paraId="721C4558" w14:textId="77777777" w:rsidR="00773093" w:rsidRPr="0029086B" w:rsidRDefault="00773093" w:rsidP="00773093">
      <w:pPr>
        <w:pStyle w:val="NormalArial"/>
        <w:numPr>
          <w:ilvl w:val="0"/>
          <w:numId w:val="14"/>
        </w:numPr>
        <w:rPr>
          <w:sz w:val="22"/>
          <w:szCs w:val="22"/>
        </w:rPr>
      </w:pPr>
      <w:r w:rsidRPr="0029086B">
        <w:rPr>
          <w:sz w:val="22"/>
          <w:szCs w:val="22"/>
        </w:rPr>
        <w:t>Income Support, all ages</w:t>
      </w:r>
    </w:p>
    <w:p w14:paraId="419D2E70" w14:textId="77777777" w:rsidR="00773093" w:rsidRPr="0029086B" w:rsidRDefault="00773093" w:rsidP="00773093">
      <w:pPr>
        <w:pStyle w:val="NormalArial"/>
        <w:numPr>
          <w:ilvl w:val="0"/>
          <w:numId w:val="14"/>
        </w:numPr>
        <w:rPr>
          <w:sz w:val="22"/>
          <w:szCs w:val="22"/>
        </w:rPr>
      </w:pPr>
      <w:r w:rsidRPr="0029086B">
        <w:rPr>
          <w:sz w:val="22"/>
          <w:szCs w:val="22"/>
        </w:rPr>
        <w:t>Income Support, age 65+ (which is most likely to be zero or negligible)</w:t>
      </w:r>
    </w:p>
    <w:p w14:paraId="460B6710" w14:textId="77777777" w:rsidR="00773093" w:rsidRPr="0029086B" w:rsidRDefault="00773093" w:rsidP="00773093">
      <w:pPr>
        <w:pStyle w:val="NormalArial"/>
        <w:numPr>
          <w:ilvl w:val="0"/>
          <w:numId w:val="14"/>
        </w:numPr>
        <w:rPr>
          <w:sz w:val="22"/>
          <w:szCs w:val="22"/>
        </w:rPr>
      </w:pPr>
      <w:r w:rsidRPr="0029086B">
        <w:rPr>
          <w:sz w:val="22"/>
          <w:szCs w:val="22"/>
        </w:rPr>
        <w:t>Jobseeker’s Allowance, 18-64 year olds</w:t>
      </w:r>
    </w:p>
    <w:p w14:paraId="3E7DABA0" w14:textId="77777777" w:rsidR="00773093" w:rsidRPr="0029086B" w:rsidRDefault="00773093" w:rsidP="00773093">
      <w:pPr>
        <w:pStyle w:val="NormalArial"/>
        <w:numPr>
          <w:ilvl w:val="0"/>
          <w:numId w:val="14"/>
        </w:numPr>
        <w:rPr>
          <w:sz w:val="22"/>
          <w:szCs w:val="22"/>
        </w:rPr>
      </w:pPr>
      <w:r w:rsidRPr="0029086B">
        <w:rPr>
          <w:sz w:val="22"/>
          <w:szCs w:val="22"/>
        </w:rPr>
        <w:t>Jobseeker’s Allowance, all ages</w:t>
      </w:r>
    </w:p>
    <w:p w14:paraId="762DF8A8" w14:textId="77777777" w:rsidR="00773093" w:rsidRPr="0029086B" w:rsidRDefault="00773093" w:rsidP="00773093">
      <w:pPr>
        <w:pStyle w:val="NormalArial"/>
        <w:numPr>
          <w:ilvl w:val="0"/>
          <w:numId w:val="14"/>
        </w:numPr>
        <w:rPr>
          <w:sz w:val="22"/>
          <w:szCs w:val="22"/>
        </w:rPr>
      </w:pPr>
      <w:r w:rsidRPr="0029086B">
        <w:rPr>
          <w:sz w:val="22"/>
          <w:szCs w:val="22"/>
        </w:rPr>
        <w:t>Pension Credit, 60-64 year olds</w:t>
      </w:r>
    </w:p>
    <w:p w14:paraId="5CA93592" w14:textId="77777777" w:rsidR="00773093" w:rsidRPr="0029086B" w:rsidRDefault="00773093" w:rsidP="00773093">
      <w:pPr>
        <w:pStyle w:val="NormalArial"/>
        <w:numPr>
          <w:ilvl w:val="0"/>
          <w:numId w:val="14"/>
        </w:numPr>
        <w:rPr>
          <w:sz w:val="22"/>
          <w:szCs w:val="22"/>
        </w:rPr>
      </w:pPr>
      <w:r w:rsidRPr="0029086B">
        <w:rPr>
          <w:sz w:val="22"/>
          <w:szCs w:val="22"/>
        </w:rPr>
        <w:t>Pension Credit, all ages</w:t>
      </w:r>
    </w:p>
    <w:p w14:paraId="62791BA5" w14:textId="77777777" w:rsidR="00773093" w:rsidRPr="0029086B" w:rsidRDefault="00773093" w:rsidP="00773093">
      <w:pPr>
        <w:pStyle w:val="NormalArial"/>
        <w:numPr>
          <w:ilvl w:val="0"/>
          <w:numId w:val="14"/>
        </w:numPr>
        <w:rPr>
          <w:sz w:val="22"/>
          <w:szCs w:val="22"/>
        </w:rPr>
      </w:pPr>
      <w:r w:rsidRPr="0029086B">
        <w:rPr>
          <w:sz w:val="22"/>
          <w:szCs w:val="22"/>
        </w:rPr>
        <w:t>Pension Credit, age 65+</w:t>
      </w:r>
    </w:p>
    <w:p w14:paraId="5B268193" w14:textId="77777777" w:rsidR="00773093" w:rsidRPr="0029086B" w:rsidRDefault="00773093" w:rsidP="00773093">
      <w:pPr>
        <w:pStyle w:val="NormalArial"/>
        <w:numPr>
          <w:ilvl w:val="0"/>
          <w:numId w:val="14"/>
        </w:numPr>
        <w:rPr>
          <w:sz w:val="22"/>
          <w:szCs w:val="22"/>
        </w:rPr>
      </w:pPr>
      <w:r w:rsidRPr="0029086B">
        <w:rPr>
          <w:sz w:val="22"/>
          <w:szCs w:val="22"/>
        </w:rPr>
        <w:t>Severe Disablement Allowance, 18-64 year olds</w:t>
      </w:r>
    </w:p>
    <w:p w14:paraId="6F45CF2C" w14:textId="77777777" w:rsidR="00773093" w:rsidRPr="0029086B" w:rsidRDefault="00773093" w:rsidP="00773093">
      <w:pPr>
        <w:pStyle w:val="NormalArial"/>
        <w:numPr>
          <w:ilvl w:val="0"/>
          <w:numId w:val="14"/>
        </w:numPr>
        <w:rPr>
          <w:sz w:val="22"/>
          <w:szCs w:val="22"/>
        </w:rPr>
      </w:pPr>
      <w:r w:rsidRPr="0029086B">
        <w:rPr>
          <w:sz w:val="22"/>
          <w:szCs w:val="22"/>
        </w:rPr>
        <w:t>Disability Living Allowance, 18-64 year olds</w:t>
      </w:r>
    </w:p>
    <w:p w14:paraId="6429C4F7"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18-64 year olds</w:t>
      </w:r>
    </w:p>
    <w:p w14:paraId="31762CD8"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all ages</w:t>
      </w:r>
    </w:p>
    <w:p w14:paraId="1DA330A4" w14:textId="77777777" w:rsidR="00773093" w:rsidRPr="0029086B" w:rsidRDefault="00773093" w:rsidP="00773093">
      <w:pPr>
        <w:pStyle w:val="NormalArial"/>
        <w:numPr>
          <w:ilvl w:val="0"/>
          <w:numId w:val="14"/>
        </w:numPr>
        <w:rPr>
          <w:sz w:val="22"/>
          <w:szCs w:val="22"/>
        </w:rPr>
      </w:pPr>
      <w:r w:rsidRPr="0029086B">
        <w:rPr>
          <w:sz w:val="22"/>
          <w:szCs w:val="22"/>
        </w:rPr>
        <w:t>Personal Independence Payment, 18-64 year olds</w:t>
      </w:r>
    </w:p>
    <w:p w14:paraId="188DB2B6" w14:textId="77777777" w:rsidR="00773093" w:rsidRPr="0029086B" w:rsidRDefault="00773093" w:rsidP="00773093">
      <w:pPr>
        <w:pStyle w:val="NormalArial"/>
        <w:rPr>
          <w:sz w:val="22"/>
          <w:szCs w:val="22"/>
        </w:rPr>
      </w:pPr>
    </w:p>
    <w:p w14:paraId="0F0DAD43" w14:textId="77777777" w:rsidR="00773093" w:rsidRPr="0029086B" w:rsidRDefault="00773093" w:rsidP="00773093">
      <w:r w:rsidRPr="0029086B">
        <w:t>The indicator values</w:t>
      </w:r>
      <w:r w:rsidR="00927406" w:rsidRPr="0029086B">
        <w:t xml:space="preserve"> specified</w:t>
      </w:r>
      <w:r w:rsidRPr="0029086B">
        <w:t xml:space="preserve"> </w:t>
      </w:r>
      <w:r w:rsidR="00927406" w:rsidRPr="0029086B">
        <w:t xml:space="preserve">below </w:t>
      </w:r>
      <w:r w:rsidRPr="0029086B">
        <w:t xml:space="preserve">are calculated by summing data </w:t>
      </w:r>
      <w:r w:rsidR="00927406" w:rsidRPr="0029086B">
        <w:t xml:space="preserve">you have downloaded above </w:t>
      </w:r>
      <w:r w:rsidRPr="0029086B">
        <w:t>in the following ways:</w:t>
      </w:r>
    </w:p>
    <w:p w14:paraId="1ABC9F36"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Income Based Jobseeker's Allowance Recipients or Pension Credit Claimants Aged 18-64</w:t>
      </w:r>
    </w:p>
    <w:p w14:paraId="5134931D" w14:textId="77777777" w:rsidR="00773093" w:rsidRPr="0029086B" w:rsidRDefault="00773093" w:rsidP="00773093">
      <w:pPr>
        <w:pStyle w:val="NormalArial"/>
        <w:numPr>
          <w:ilvl w:val="0"/>
          <w:numId w:val="13"/>
        </w:numPr>
        <w:spacing w:after="120"/>
        <w:rPr>
          <w:b/>
          <w:sz w:val="22"/>
          <w:szCs w:val="22"/>
        </w:rPr>
      </w:pPr>
      <w:r w:rsidRPr="0029086B">
        <w:rPr>
          <w:sz w:val="22"/>
          <w:szCs w:val="22"/>
        </w:rPr>
        <w:t>Add datasets 1, 4 and 6 together from above</w:t>
      </w:r>
    </w:p>
    <w:p w14:paraId="68FC97B9"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or Pension Credit Claimants Aged 65+</w:t>
      </w:r>
    </w:p>
    <w:p w14:paraId="3D558C64"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3 and 8 together from above</w:t>
      </w:r>
    </w:p>
    <w:p w14:paraId="15F7BFA8" w14:textId="77777777" w:rsidR="00773093" w:rsidRPr="0029086B" w:rsidRDefault="00773093" w:rsidP="00773093">
      <w:pPr>
        <w:pStyle w:val="NormalArial"/>
        <w:numPr>
          <w:ilvl w:val="0"/>
          <w:numId w:val="12"/>
        </w:numPr>
        <w:spacing w:after="120"/>
        <w:rPr>
          <w:b/>
          <w:sz w:val="22"/>
          <w:szCs w:val="22"/>
        </w:rPr>
      </w:pPr>
      <w:r w:rsidRPr="0029086B">
        <w:rPr>
          <w:b/>
          <w:sz w:val="22"/>
          <w:szCs w:val="22"/>
        </w:rPr>
        <w:t>Total Number of Income Support Claimants (MIG and Non-MIG), Income Based Jobseeker's Allowance Recipients or Pension Credit Claimants</w:t>
      </w:r>
    </w:p>
    <w:p w14:paraId="5C805603"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2, 5 and 7 together from above</w:t>
      </w:r>
    </w:p>
    <w:p w14:paraId="4270A3F5"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Severe Disablement Allowance or Disability Living Allowance Claimants Aged 18-64</w:t>
      </w:r>
    </w:p>
    <w:p w14:paraId="764EB2EF"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9 and 10 together from above</w:t>
      </w:r>
    </w:p>
    <w:p w14:paraId="44337F39" w14:textId="77777777" w:rsidR="00773093" w:rsidRDefault="00773093" w:rsidP="00773093"/>
    <w:p w14:paraId="06A4860D" w14:textId="77777777" w:rsidR="00B056C7" w:rsidRPr="00404DAC" w:rsidRDefault="00B056C7">
      <w:pPr>
        <w:rPr>
          <w:sz w:val="24"/>
          <w:szCs w:val="24"/>
        </w:rPr>
      </w:pPr>
    </w:p>
    <w:sectPr w:rsidR="00B056C7" w:rsidRPr="00404DAC">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BB54" w14:textId="77777777" w:rsidR="00031E71" w:rsidRDefault="00031E71">
      <w:r>
        <w:separator/>
      </w:r>
    </w:p>
  </w:endnote>
  <w:endnote w:type="continuationSeparator" w:id="0">
    <w:p w14:paraId="4C4B964F" w14:textId="77777777" w:rsidR="00031E71" w:rsidRDefault="0003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7D91" w14:textId="77777777" w:rsidR="00196B81" w:rsidRDefault="00196B81">
    <w:pPr>
      <w:pStyle w:val="BodyText"/>
      <w:spacing w:line="14" w:lineRule="auto"/>
      <w:rPr>
        <w:sz w:val="20"/>
      </w:rPr>
    </w:pPr>
    <w:r>
      <w:rPr>
        <w:noProof/>
        <w:lang w:bidi="ar-SA"/>
      </w:rPr>
      <mc:AlternateContent>
        <mc:Choice Requires="wps">
          <w:drawing>
            <wp:inline distT="0" distB="0" distL="0" distR="0" wp14:anchorId="1FC03748" wp14:editId="3A53AE66">
              <wp:extent cx="219075" cy="209550"/>
              <wp:effectExtent l="0" t="0" r="95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DE85" w14:textId="6832ADE6" w:rsidR="00196B81" w:rsidRDefault="00196B81">
                          <w:pPr>
                            <w:spacing w:before="12"/>
                            <w:ind w:left="40"/>
                            <w:rPr>
                              <w:b/>
                              <w:sz w:val="24"/>
                            </w:rPr>
                          </w:pPr>
                          <w:r>
                            <w:fldChar w:fldCharType="begin"/>
                          </w:r>
                          <w:r>
                            <w:rPr>
                              <w:b/>
                              <w:w w:val="99"/>
                              <w:sz w:val="24"/>
                            </w:rPr>
                            <w:instrText xml:space="preserve"> PAGE </w:instrText>
                          </w:r>
                          <w:r>
                            <w:fldChar w:fldCharType="separate"/>
                          </w:r>
                          <w:r w:rsidR="004C3F57">
                            <w:rPr>
                              <w:b/>
                              <w:noProof/>
                              <w:w w:val="99"/>
                              <w:sz w:val="24"/>
                            </w:rPr>
                            <w:t>5</w:t>
                          </w:r>
                          <w:r>
                            <w:fldChar w:fldCharType="end"/>
                          </w:r>
                        </w:p>
                      </w:txbxContent>
                    </wps:txbx>
                    <wps:bodyPr rot="0" vert="horz" wrap="square" lIns="0" tIns="0" rIns="0" bIns="0" anchor="t" anchorCtr="0" upright="1">
                      <a:noAutofit/>
                    </wps:bodyPr>
                  </wps:wsp>
                </a:graphicData>
              </a:graphic>
            </wp:inline>
          </w:drawing>
        </mc:Choice>
        <mc:Fallback>
          <w:pict>
            <v:shapetype w14:anchorId="1FC03748" id="_x0000_t202" coordsize="21600,21600" o:spt="202" path="m,l,21600r21600,l21600,xe">
              <v:stroke joinstyle="miter"/>
              <v:path gradientshapeok="t" o:connecttype="rect"/>
            </v:shapetype>
            <v:shape id="Text Box 1" o:spid="_x0000_s1026" type="#_x0000_t202" style="width:17.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" filled="f" stroked="f">
              <v:textbox inset="0,0,0,0">
                <w:txbxContent>
                  <w:p w14:paraId="378BDE85" w14:textId="6832ADE6" w:rsidR="00196B81" w:rsidRDefault="00196B81">
                    <w:pPr>
                      <w:spacing w:before="12"/>
                      <w:ind w:left="40"/>
                      <w:rPr>
                        <w:b/>
                        <w:sz w:val="24"/>
                      </w:rPr>
                    </w:pPr>
                    <w:r>
                      <w:fldChar w:fldCharType="begin"/>
                    </w:r>
                    <w:r>
                      <w:rPr>
                        <w:b/>
                        <w:w w:val="99"/>
                        <w:sz w:val="24"/>
                      </w:rPr>
                      <w:instrText xml:space="preserve"> PAGE </w:instrText>
                    </w:r>
                    <w:r>
                      <w:fldChar w:fldCharType="separate"/>
                    </w:r>
                    <w:r w:rsidR="004C3F57">
                      <w:rPr>
                        <w:b/>
                        <w:noProof/>
                        <w:w w:val="99"/>
                        <w:sz w:val="24"/>
                      </w:rPr>
                      <w:t>5</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E004" w14:textId="77777777" w:rsidR="00031E71" w:rsidRDefault="00031E71">
      <w:r>
        <w:separator/>
      </w:r>
    </w:p>
  </w:footnote>
  <w:footnote w:type="continuationSeparator" w:id="0">
    <w:p w14:paraId="6AD2AE8F" w14:textId="77777777" w:rsidR="00031E71" w:rsidRDefault="0003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618BA3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2225B"/>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451EBB"/>
    <w:multiLevelType w:val="hybridMultilevel"/>
    <w:tmpl w:val="3ED02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9E222FC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4756B"/>
    <w:multiLevelType w:val="hybridMultilevel"/>
    <w:tmpl w:val="90DE16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2D6FBD"/>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4B0E83"/>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6534B03"/>
    <w:multiLevelType w:val="hybridMultilevel"/>
    <w:tmpl w:val="AA52B7D0"/>
    <w:lvl w:ilvl="0" w:tplc="6538752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42A1E"/>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7391D89"/>
    <w:multiLevelType w:val="hybridMultilevel"/>
    <w:tmpl w:val="B0A0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3496"/>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8C7BDA"/>
    <w:multiLevelType w:val="hybridMultilevel"/>
    <w:tmpl w:val="46F0CDDE"/>
    <w:lvl w:ilvl="0" w:tplc="83CC9AD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C68D1"/>
    <w:multiLevelType w:val="hybridMultilevel"/>
    <w:tmpl w:val="9842B7E0"/>
    <w:lvl w:ilvl="0" w:tplc="A8101F52">
      <w:numFmt w:val="bullet"/>
      <w:lvlText w:val=""/>
      <w:lvlJc w:val="left"/>
      <w:pPr>
        <w:ind w:left="118" w:hanging="360"/>
      </w:pPr>
      <w:rPr>
        <w:rFonts w:ascii="Symbol" w:hAnsi="Symbol" w:hint="default"/>
        <w:w w:val="99"/>
        <w:sz w:val="20"/>
        <w:lang w:val="en-GB" w:eastAsia="en-GB" w:bidi="en-GB"/>
      </w:rPr>
    </w:lvl>
    <w:lvl w:ilvl="1" w:tplc="EDACA5B8">
      <w:numFmt w:val="bullet"/>
      <w:lvlText w:val="•"/>
      <w:lvlJc w:val="left"/>
      <w:pPr>
        <w:ind w:left="1078" w:hanging="360"/>
      </w:pPr>
      <w:rPr>
        <w:rFonts w:hint="default"/>
        <w:lang w:val="en-GB" w:eastAsia="en-GB" w:bidi="en-GB"/>
      </w:rPr>
    </w:lvl>
    <w:lvl w:ilvl="2" w:tplc="08448F1E">
      <w:numFmt w:val="bullet"/>
      <w:lvlText w:val="•"/>
      <w:lvlJc w:val="left"/>
      <w:pPr>
        <w:ind w:left="2037" w:hanging="360"/>
      </w:pPr>
      <w:rPr>
        <w:rFonts w:hint="default"/>
        <w:lang w:val="en-GB" w:eastAsia="en-GB" w:bidi="en-GB"/>
      </w:rPr>
    </w:lvl>
    <w:lvl w:ilvl="3" w:tplc="F98CF36E">
      <w:numFmt w:val="bullet"/>
      <w:lvlText w:val="•"/>
      <w:lvlJc w:val="left"/>
      <w:pPr>
        <w:ind w:left="2995" w:hanging="360"/>
      </w:pPr>
      <w:rPr>
        <w:rFonts w:hint="default"/>
        <w:lang w:val="en-GB" w:eastAsia="en-GB" w:bidi="en-GB"/>
      </w:rPr>
    </w:lvl>
    <w:lvl w:ilvl="4" w:tplc="7A047746">
      <w:numFmt w:val="bullet"/>
      <w:lvlText w:val="•"/>
      <w:lvlJc w:val="left"/>
      <w:pPr>
        <w:ind w:left="3954" w:hanging="360"/>
      </w:pPr>
      <w:rPr>
        <w:rFonts w:hint="default"/>
        <w:lang w:val="en-GB" w:eastAsia="en-GB" w:bidi="en-GB"/>
      </w:rPr>
    </w:lvl>
    <w:lvl w:ilvl="5" w:tplc="340C0754">
      <w:numFmt w:val="bullet"/>
      <w:lvlText w:val="•"/>
      <w:lvlJc w:val="left"/>
      <w:pPr>
        <w:ind w:left="4913" w:hanging="360"/>
      </w:pPr>
      <w:rPr>
        <w:rFonts w:hint="default"/>
        <w:lang w:val="en-GB" w:eastAsia="en-GB" w:bidi="en-GB"/>
      </w:rPr>
    </w:lvl>
    <w:lvl w:ilvl="6" w:tplc="850A597C">
      <w:numFmt w:val="bullet"/>
      <w:lvlText w:val="•"/>
      <w:lvlJc w:val="left"/>
      <w:pPr>
        <w:ind w:left="5871" w:hanging="360"/>
      </w:pPr>
      <w:rPr>
        <w:rFonts w:hint="default"/>
        <w:lang w:val="en-GB" w:eastAsia="en-GB" w:bidi="en-GB"/>
      </w:rPr>
    </w:lvl>
    <w:lvl w:ilvl="7" w:tplc="7B66933E">
      <w:numFmt w:val="bullet"/>
      <w:lvlText w:val="•"/>
      <w:lvlJc w:val="left"/>
      <w:pPr>
        <w:ind w:left="6830" w:hanging="360"/>
      </w:pPr>
      <w:rPr>
        <w:rFonts w:hint="default"/>
        <w:lang w:val="en-GB" w:eastAsia="en-GB" w:bidi="en-GB"/>
      </w:rPr>
    </w:lvl>
    <w:lvl w:ilvl="8" w:tplc="27F42C3A">
      <w:numFmt w:val="bullet"/>
      <w:lvlText w:val="•"/>
      <w:lvlJc w:val="left"/>
      <w:pPr>
        <w:ind w:left="7789" w:hanging="360"/>
      </w:pPr>
      <w:rPr>
        <w:rFonts w:hint="default"/>
        <w:lang w:val="en-GB" w:eastAsia="en-GB" w:bidi="en-GB"/>
      </w:rPr>
    </w:lvl>
  </w:abstractNum>
  <w:num w:numId="1" w16cid:durableId="665590658">
    <w:abstractNumId w:val="21"/>
  </w:num>
  <w:num w:numId="2" w16cid:durableId="847796420">
    <w:abstractNumId w:val="18"/>
  </w:num>
  <w:num w:numId="3" w16cid:durableId="835535432">
    <w:abstractNumId w:val="8"/>
  </w:num>
  <w:num w:numId="4" w16cid:durableId="783382472">
    <w:abstractNumId w:val="3"/>
  </w:num>
  <w:num w:numId="5" w16cid:durableId="1443693204">
    <w:abstractNumId w:val="9"/>
  </w:num>
  <w:num w:numId="6" w16cid:durableId="590049141">
    <w:abstractNumId w:val="6"/>
  </w:num>
  <w:num w:numId="7" w16cid:durableId="1247299556">
    <w:abstractNumId w:val="12"/>
  </w:num>
  <w:num w:numId="8" w16cid:durableId="1133476675">
    <w:abstractNumId w:val="2"/>
  </w:num>
  <w:num w:numId="9" w16cid:durableId="2143188535">
    <w:abstractNumId w:val="7"/>
  </w:num>
  <w:num w:numId="10" w16cid:durableId="126360675">
    <w:abstractNumId w:val="0"/>
  </w:num>
  <w:num w:numId="11" w16cid:durableId="651832344">
    <w:abstractNumId w:val="13"/>
  </w:num>
  <w:num w:numId="12" w16cid:durableId="1224949701">
    <w:abstractNumId w:val="10"/>
  </w:num>
  <w:num w:numId="13" w16cid:durableId="1349597590">
    <w:abstractNumId w:val="16"/>
  </w:num>
  <w:num w:numId="14" w16cid:durableId="2080865007">
    <w:abstractNumId w:val="1"/>
  </w:num>
  <w:num w:numId="15" w16cid:durableId="2009207967">
    <w:abstractNumId w:val="14"/>
  </w:num>
  <w:num w:numId="16" w16cid:durableId="913049804">
    <w:abstractNumId w:val="4"/>
  </w:num>
  <w:num w:numId="17" w16cid:durableId="715199849">
    <w:abstractNumId w:val="19"/>
  </w:num>
  <w:num w:numId="18" w16cid:durableId="1816337134">
    <w:abstractNumId w:val="5"/>
  </w:num>
  <w:num w:numId="19" w16cid:durableId="1126122445">
    <w:abstractNumId w:val="15"/>
  </w:num>
  <w:num w:numId="20" w16cid:durableId="268239112">
    <w:abstractNumId w:val="17"/>
  </w:num>
  <w:num w:numId="21" w16cid:durableId="18236895">
    <w:abstractNumId w:val="20"/>
  </w:num>
  <w:num w:numId="22" w16cid:durableId="721557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B3"/>
    <w:rsid w:val="000144C3"/>
    <w:rsid w:val="00017AEE"/>
    <w:rsid w:val="0002570C"/>
    <w:rsid w:val="00031E71"/>
    <w:rsid w:val="000637BE"/>
    <w:rsid w:val="000662E9"/>
    <w:rsid w:val="000929D8"/>
    <w:rsid w:val="000E1E14"/>
    <w:rsid w:val="000E5848"/>
    <w:rsid w:val="000F3FDC"/>
    <w:rsid w:val="000F4817"/>
    <w:rsid w:val="001073F3"/>
    <w:rsid w:val="00122437"/>
    <w:rsid w:val="00124568"/>
    <w:rsid w:val="00127A23"/>
    <w:rsid w:val="00136692"/>
    <w:rsid w:val="00161311"/>
    <w:rsid w:val="00162159"/>
    <w:rsid w:val="0016617B"/>
    <w:rsid w:val="00166545"/>
    <w:rsid w:val="00171EE5"/>
    <w:rsid w:val="0019093D"/>
    <w:rsid w:val="001929BA"/>
    <w:rsid w:val="00196B81"/>
    <w:rsid w:val="001C646F"/>
    <w:rsid w:val="001E1814"/>
    <w:rsid w:val="001F3242"/>
    <w:rsid w:val="001F591D"/>
    <w:rsid w:val="00203175"/>
    <w:rsid w:val="002068E2"/>
    <w:rsid w:val="00212B95"/>
    <w:rsid w:val="002206B7"/>
    <w:rsid w:val="0022363D"/>
    <w:rsid w:val="002360CF"/>
    <w:rsid w:val="002831C9"/>
    <w:rsid w:val="0029086B"/>
    <w:rsid w:val="002967D7"/>
    <w:rsid w:val="00296E81"/>
    <w:rsid w:val="002A26D2"/>
    <w:rsid w:val="002C0B1D"/>
    <w:rsid w:val="002C3147"/>
    <w:rsid w:val="002D0837"/>
    <w:rsid w:val="002F1DF4"/>
    <w:rsid w:val="00305FD4"/>
    <w:rsid w:val="00311D6C"/>
    <w:rsid w:val="00312A26"/>
    <w:rsid w:val="00345C36"/>
    <w:rsid w:val="0035682C"/>
    <w:rsid w:val="00357F0C"/>
    <w:rsid w:val="00361932"/>
    <w:rsid w:val="003800B3"/>
    <w:rsid w:val="003822CE"/>
    <w:rsid w:val="00385B09"/>
    <w:rsid w:val="003A146D"/>
    <w:rsid w:val="003A1865"/>
    <w:rsid w:val="003B50AC"/>
    <w:rsid w:val="003C069C"/>
    <w:rsid w:val="003C3989"/>
    <w:rsid w:val="003C5FB7"/>
    <w:rsid w:val="003D56D0"/>
    <w:rsid w:val="00404DAC"/>
    <w:rsid w:val="00406EC0"/>
    <w:rsid w:val="00407984"/>
    <w:rsid w:val="00421DAE"/>
    <w:rsid w:val="00431CA0"/>
    <w:rsid w:val="00441056"/>
    <w:rsid w:val="00455EAF"/>
    <w:rsid w:val="00464335"/>
    <w:rsid w:val="00464536"/>
    <w:rsid w:val="00471510"/>
    <w:rsid w:val="004748FC"/>
    <w:rsid w:val="0047709E"/>
    <w:rsid w:val="00481E72"/>
    <w:rsid w:val="004833E6"/>
    <w:rsid w:val="00484C93"/>
    <w:rsid w:val="004A11EE"/>
    <w:rsid w:val="004C3F57"/>
    <w:rsid w:val="004D0A53"/>
    <w:rsid w:val="004D0AD6"/>
    <w:rsid w:val="004E0EE7"/>
    <w:rsid w:val="004E566B"/>
    <w:rsid w:val="004F7D61"/>
    <w:rsid w:val="00501920"/>
    <w:rsid w:val="00502AC8"/>
    <w:rsid w:val="00504C29"/>
    <w:rsid w:val="00506C5C"/>
    <w:rsid w:val="0053001B"/>
    <w:rsid w:val="0053059C"/>
    <w:rsid w:val="005401D8"/>
    <w:rsid w:val="00553779"/>
    <w:rsid w:val="00565DC9"/>
    <w:rsid w:val="005717E3"/>
    <w:rsid w:val="005A7913"/>
    <w:rsid w:val="005E0E7C"/>
    <w:rsid w:val="005E73F0"/>
    <w:rsid w:val="00623E6C"/>
    <w:rsid w:val="006252B9"/>
    <w:rsid w:val="00633A28"/>
    <w:rsid w:val="00643FB8"/>
    <w:rsid w:val="00644929"/>
    <w:rsid w:val="006625D7"/>
    <w:rsid w:val="00675877"/>
    <w:rsid w:val="006758A6"/>
    <w:rsid w:val="00686AD0"/>
    <w:rsid w:val="0069435F"/>
    <w:rsid w:val="006A10B6"/>
    <w:rsid w:val="006A44E7"/>
    <w:rsid w:val="006A5115"/>
    <w:rsid w:val="006A65B6"/>
    <w:rsid w:val="006C4B87"/>
    <w:rsid w:val="006C4C0F"/>
    <w:rsid w:val="006D5E8F"/>
    <w:rsid w:val="006D5EE2"/>
    <w:rsid w:val="00741B88"/>
    <w:rsid w:val="0074321A"/>
    <w:rsid w:val="007566C4"/>
    <w:rsid w:val="00773093"/>
    <w:rsid w:val="00780917"/>
    <w:rsid w:val="007821B8"/>
    <w:rsid w:val="00792096"/>
    <w:rsid w:val="00793A00"/>
    <w:rsid w:val="00795D30"/>
    <w:rsid w:val="007A1555"/>
    <w:rsid w:val="007C19EB"/>
    <w:rsid w:val="007E4B08"/>
    <w:rsid w:val="007F18FC"/>
    <w:rsid w:val="007F2D7C"/>
    <w:rsid w:val="00801F6E"/>
    <w:rsid w:val="00803CCE"/>
    <w:rsid w:val="00830F14"/>
    <w:rsid w:val="008414F8"/>
    <w:rsid w:val="00842332"/>
    <w:rsid w:val="00844E99"/>
    <w:rsid w:val="00870DE9"/>
    <w:rsid w:val="00885CDA"/>
    <w:rsid w:val="00895A4B"/>
    <w:rsid w:val="008A2A43"/>
    <w:rsid w:val="008A3843"/>
    <w:rsid w:val="008B01C4"/>
    <w:rsid w:val="008C6F63"/>
    <w:rsid w:val="008D6564"/>
    <w:rsid w:val="0090018D"/>
    <w:rsid w:val="00915289"/>
    <w:rsid w:val="009227CF"/>
    <w:rsid w:val="00927406"/>
    <w:rsid w:val="00956917"/>
    <w:rsid w:val="009675D3"/>
    <w:rsid w:val="00970F67"/>
    <w:rsid w:val="009740A5"/>
    <w:rsid w:val="00993642"/>
    <w:rsid w:val="00996AE7"/>
    <w:rsid w:val="009B54DC"/>
    <w:rsid w:val="009C1B73"/>
    <w:rsid w:val="009C2A89"/>
    <w:rsid w:val="009C5088"/>
    <w:rsid w:val="009C56C7"/>
    <w:rsid w:val="009D63FF"/>
    <w:rsid w:val="009F4414"/>
    <w:rsid w:val="00A1530F"/>
    <w:rsid w:val="00A216B1"/>
    <w:rsid w:val="00A23D06"/>
    <w:rsid w:val="00A32359"/>
    <w:rsid w:val="00A3601D"/>
    <w:rsid w:val="00A41905"/>
    <w:rsid w:val="00A54081"/>
    <w:rsid w:val="00A81D91"/>
    <w:rsid w:val="00A90FCA"/>
    <w:rsid w:val="00A95DF4"/>
    <w:rsid w:val="00AA2F19"/>
    <w:rsid w:val="00AA363A"/>
    <w:rsid w:val="00AC43CC"/>
    <w:rsid w:val="00AD31CA"/>
    <w:rsid w:val="00AD4FE0"/>
    <w:rsid w:val="00AD7031"/>
    <w:rsid w:val="00AE485D"/>
    <w:rsid w:val="00B04B46"/>
    <w:rsid w:val="00B056C7"/>
    <w:rsid w:val="00B12EDF"/>
    <w:rsid w:val="00B1547A"/>
    <w:rsid w:val="00B22B59"/>
    <w:rsid w:val="00B51168"/>
    <w:rsid w:val="00B51FA7"/>
    <w:rsid w:val="00B523B6"/>
    <w:rsid w:val="00B53FAF"/>
    <w:rsid w:val="00B72444"/>
    <w:rsid w:val="00B75B32"/>
    <w:rsid w:val="00B84A64"/>
    <w:rsid w:val="00B91617"/>
    <w:rsid w:val="00BB7F4A"/>
    <w:rsid w:val="00BE0A0C"/>
    <w:rsid w:val="00BE38ED"/>
    <w:rsid w:val="00BF1520"/>
    <w:rsid w:val="00BF418A"/>
    <w:rsid w:val="00BF639B"/>
    <w:rsid w:val="00C00CB1"/>
    <w:rsid w:val="00C1774B"/>
    <w:rsid w:val="00C25E1B"/>
    <w:rsid w:val="00C27FB2"/>
    <w:rsid w:val="00C4407F"/>
    <w:rsid w:val="00C44B1E"/>
    <w:rsid w:val="00C45B51"/>
    <w:rsid w:val="00CA5533"/>
    <w:rsid w:val="00CC17D5"/>
    <w:rsid w:val="00CC2D0C"/>
    <w:rsid w:val="00CC7031"/>
    <w:rsid w:val="00CD1182"/>
    <w:rsid w:val="00CF6FB8"/>
    <w:rsid w:val="00D00674"/>
    <w:rsid w:val="00D027D6"/>
    <w:rsid w:val="00D06BB7"/>
    <w:rsid w:val="00D17E97"/>
    <w:rsid w:val="00D26E9D"/>
    <w:rsid w:val="00D360D8"/>
    <w:rsid w:val="00D65B0C"/>
    <w:rsid w:val="00D67029"/>
    <w:rsid w:val="00D932F4"/>
    <w:rsid w:val="00DB585F"/>
    <w:rsid w:val="00DC04CD"/>
    <w:rsid w:val="00DC2697"/>
    <w:rsid w:val="00DD5F82"/>
    <w:rsid w:val="00DE17FC"/>
    <w:rsid w:val="00DE690E"/>
    <w:rsid w:val="00E03234"/>
    <w:rsid w:val="00E32044"/>
    <w:rsid w:val="00E33DB6"/>
    <w:rsid w:val="00E471FA"/>
    <w:rsid w:val="00E527A1"/>
    <w:rsid w:val="00E62D9A"/>
    <w:rsid w:val="00E640EA"/>
    <w:rsid w:val="00E66895"/>
    <w:rsid w:val="00E84B6F"/>
    <w:rsid w:val="00E97C39"/>
    <w:rsid w:val="00EC04CA"/>
    <w:rsid w:val="00EC3C91"/>
    <w:rsid w:val="00EC5D1C"/>
    <w:rsid w:val="00EC7CB2"/>
    <w:rsid w:val="00ED6AA2"/>
    <w:rsid w:val="00EE165B"/>
    <w:rsid w:val="00EE4007"/>
    <w:rsid w:val="00F20527"/>
    <w:rsid w:val="00F26C6F"/>
    <w:rsid w:val="00F31ECF"/>
    <w:rsid w:val="00F353AC"/>
    <w:rsid w:val="00F50C4B"/>
    <w:rsid w:val="00F52644"/>
    <w:rsid w:val="00F70BEC"/>
    <w:rsid w:val="00F85813"/>
    <w:rsid w:val="00F94D63"/>
    <w:rsid w:val="00F965FD"/>
    <w:rsid w:val="00FA4BB6"/>
    <w:rsid w:val="00FB5BC6"/>
    <w:rsid w:val="00FC318C"/>
    <w:rsid w:val="00FC7565"/>
    <w:rsid w:val="00FD2A6E"/>
    <w:rsid w:val="00FD6F81"/>
    <w:rsid w:val="00FE21A7"/>
    <w:rsid w:val="00FE262A"/>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2EE952EF"/>
  <w15:chartTrackingRefBased/>
  <w15:docId w15:val="{6740AF75-EC94-45EB-8249-8084FCC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00B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3800B3"/>
    <w:pPr>
      <w:ind w:left="118"/>
      <w:outlineLvl w:val="0"/>
    </w:pPr>
    <w:rPr>
      <w:b/>
      <w:bCs/>
      <w:sz w:val="24"/>
      <w:szCs w:val="24"/>
    </w:rPr>
  </w:style>
  <w:style w:type="paragraph" w:styleId="Heading2">
    <w:name w:val="heading 2"/>
    <w:basedOn w:val="Normal"/>
    <w:next w:val="Normal"/>
    <w:link w:val="Heading2Char"/>
    <w:unhideWhenUsed/>
    <w:qFormat/>
    <w:rsid w:val="003800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D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0B3"/>
    <w:rPr>
      <w:rFonts w:ascii="Arial" w:eastAsia="Arial" w:hAnsi="Arial" w:cs="Arial"/>
      <w:b/>
      <w:bCs/>
      <w:sz w:val="24"/>
      <w:szCs w:val="24"/>
      <w:lang w:eastAsia="en-GB" w:bidi="en-GB"/>
    </w:rPr>
  </w:style>
  <w:style w:type="paragraph" w:styleId="BodyText">
    <w:name w:val="Body Text"/>
    <w:basedOn w:val="Normal"/>
    <w:link w:val="BodyTextChar"/>
    <w:uiPriority w:val="1"/>
    <w:qFormat/>
    <w:rsid w:val="003800B3"/>
    <w:rPr>
      <w:sz w:val="24"/>
      <w:szCs w:val="24"/>
    </w:rPr>
  </w:style>
  <w:style w:type="character" w:customStyle="1" w:styleId="BodyTextChar">
    <w:name w:val="Body Text Char"/>
    <w:basedOn w:val="DefaultParagraphFont"/>
    <w:link w:val="BodyText"/>
    <w:uiPriority w:val="1"/>
    <w:rsid w:val="003800B3"/>
    <w:rPr>
      <w:rFonts w:ascii="Arial" w:eastAsia="Arial" w:hAnsi="Arial" w:cs="Arial"/>
      <w:sz w:val="24"/>
      <w:szCs w:val="24"/>
      <w:lang w:eastAsia="en-GB" w:bidi="en-GB"/>
    </w:rPr>
  </w:style>
  <w:style w:type="character" w:customStyle="1" w:styleId="Heading2Char">
    <w:name w:val="Heading 2 Char"/>
    <w:basedOn w:val="DefaultParagraphFont"/>
    <w:link w:val="Heading2"/>
    <w:rsid w:val="003800B3"/>
    <w:rPr>
      <w:rFonts w:asciiTheme="majorHAnsi" w:eastAsiaTheme="majorEastAsia" w:hAnsiTheme="majorHAnsi" w:cstheme="majorBidi"/>
      <w:color w:val="2E74B5" w:themeColor="accent1" w:themeShade="BF"/>
      <w:sz w:val="26"/>
      <w:szCs w:val="26"/>
      <w:lang w:eastAsia="en-GB" w:bidi="en-GB"/>
    </w:rPr>
  </w:style>
  <w:style w:type="character" w:styleId="Hyperlink">
    <w:name w:val="Hyperlink"/>
    <w:basedOn w:val="DefaultParagraphFont"/>
    <w:uiPriority w:val="99"/>
    <w:unhideWhenUsed/>
    <w:rsid w:val="003800B3"/>
    <w:rPr>
      <w:color w:val="0563C1" w:themeColor="hyperlink"/>
      <w:u w:val="single"/>
    </w:rPr>
  </w:style>
  <w:style w:type="paragraph" w:styleId="ListParagraph">
    <w:name w:val="List Paragraph"/>
    <w:basedOn w:val="Normal"/>
    <w:uiPriority w:val="34"/>
    <w:qFormat/>
    <w:rsid w:val="00B22B59"/>
    <w:pPr>
      <w:ind w:left="476" w:hanging="358"/>
    </w:pPr>
  </w:style>
  <w:style w:type="character" w:styleId="FollowedHyperlink">
    <w:name w:val="FollowedHyperlink"/>
    <w:basedOn w:val="DefaultParagraphFont"/>
    <w:uiPriority w:val="99"/>
    <w:semiHidden/>
    <w:unhideWhenUsed/>
    <w:rsid w:val="00AA2F19"/>
    <w:rPr>
      <w:color w:val="954F72" w:themeColor="followedHyperlink"/>
      <w:u w:val="single"/>
    </w:rPr>
  </w:style>
  <w:style w:type="paragraph" w:customStyle="1" w:styleId="NormalArial">
    <w:name w:val="Normal + Arial"/>
    <w:aliases w:val="10 pt"/>
    <w:basedOn w:val="Normal"/>
    <w:rsid w:val="00773093"/>
    <w:pPr>
      <w:widowControl/>
      <w:autoSpaceDE/>
      <w:autoSpaceDN/>
    </w:pPr>
    <w:rPr>
      <w:rFonts w:eastAsia="Times New Roman"/>
      <w:sz w:val="20"/>
      <w:szCs w:val="20"/>
      <w:lang w:bidi="ar-SA"/>
    </w:rPr>
  </w:style>
  <w:style w:type="paragraph" w:styleId="FootnoteText">
    <w:name w:val="footnote text"/>
    <w:basedOn w:val="Normal"/>
    <w:link w:val="FootnoteTextChar"/>
    <w:semiHidden/>
    <w:rsid w:val="0077309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773093"/>
    <w:rPr>
      <w:rFonts w:ascii="Times New Roman" w:eastAsia="Times New Roman" w:hAnsi="Times New Roman" w:cs="Times New Roman"/>
      <w:sz w:val="20"/>
      <w:szCs w:val="20"/>
      <w:lang w:eastAsia="en-GB"/>
    </w:rPr>
  </w:style>
  <w:style w:type="character" w:styleId="FootnoteReference">
    <w:name w:val="footnote reference"/>
    <w:semiHidden/>
    <w:rsid w:val="00773093"/>
    <w:rPr>
      <w:vertAlign w:val="superscript"/>
    </w:rPr>
  </w:style>
  <w:style w:type="paragraph" w:styleId="BalloonText">
    <w:name w:val="Balloon Text"/>
    <w:basedOn w:val="Normal"/>
    <w:link w:val="BalloonTextChar"/>
    <w:uiPriority w:val="99"/>
    <w:semiHidden/>
    <w:unhideWhenUsed/>
    <w:rsid w:val="00F2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27"/>
    <w:rPr>
      <w:rFonts w:ascii="Segoe UI" w:eastAsia="Arial" w:hAnsi="Segoe UI" w:cs="Segoe UI"/>
      <w:sz w:val="18"/>
      <w:szCs w:val="18"/>
      <w:lang w:eastAsia="en-GB" w:bidi="en-GB"/>
    </w:rPr>
  </w:style>
  <w:style w:type="paragraph" w:customStyle="1" w:styleId="Default">
    <w:name w:val="Default"/>
    <w:rsid w:val="00E97C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6617B"/>
    <w:rPr>
      <w:sz w:val="16"/>
      <w:szCs w:val="16"/>
    </w:rPr>
  </w:style>
  <w:style w:type="paragraph" w:styleId="CommentText">
    <w:name w:val="annotation text"/>
    <w:basedOn w:val="Normal"/>
    <w:link w:val="CommentTextChar"/>
    <w:uiPriority w:val="99"/>
    <w:unhideWhenUsed/>
    <w:rsid w:val="0016617B"/>
    <w:rPr>
      <w:sz w:val="20"/>
      <w:szCs w:val="20"/>
    </w:rPr>
  </w:style>
  <w:style w:type="character" w:customStyle="1" w:styleId="CommentTextChar">
    <w:name w:val="Comment Text Char"/>
    <w:basedOn w:val="DefaultParagraphFont"/>
    <w:link w:val="CommentText"/>
    <w:uiPriority w:val="99"/>
    <w:rsid w:val="0016617B"/>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16617B"/>
    <w:rPr>
      <w:b/>
      <w:bCs/>
    </w:rPr>
  </w:style>
  <w:style w:type="character" w:customStyle="1" w:styleId="CommentSubjectChar">
    <w:name w:val="Comment Subject Char"/>
    <w:basedOn w:val="CommentTextChar"/>
    <w:link w:val="CommentSubject"/>
    <w:uiPriority w:val="99"/>
    <w:semiHidden/>
    <w:rsid w:val="0016617B"/>
    <w:rPr>
      <w:rFonts w:ascii="Arial" w:eastAsia="Arial" w:hAnsi="Arial" w:cs="Arial"/>
      <w:b/>
      <w:bCs/>
      <w:sz w:val="20"/>
      <w:szCs w:val="20"/>
      <w:lang w:eastAsia="en-GB" w:bidi="en-GB"/>
    </w:rPr>
  </w:style>
  <w:style w:type="paragraph" w:styleId="Title">
    <w:name w:val="Title"/>
    <w:basedOn w:val="Normal"/>
    <w:next w:val="Normal"/>
    <w:link w:val="TitleChar"/>
    <w:uiPriority w:val="10"/>
    <w:qFormat/>
    <w:rsid w:val="007566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6C4"/>
    <w:rPr>
      <w:rFonts w:asciiTheme="majorHAnsi" w:eastAsiaTheme="majorEastAsia" w:hAnsiTheme="majorHAnsi" w:cstheme="majorBidi"/>
      <w:spacing w:val="-10"/>
      <w:kern w:val="28"/>
      <w:sz w:val="56"/>
      <w:szCs w:val="56"/>
      <w:lang w:eastAsia="en-GB" w:bidi="en-GB"/>
    </w:rPr>
  </w:style>
  <w:style w:type="paragraph" w:styleId="Revision">
    <w:name w:val="Revision"/>
    <w:hidden/>
    <w:uiPriority w:val="99"/>
    <w:semiHidden/>
    <w:rsid w:val="00795D30"/>
    <w:pPr>
      <w:spacing w:after="0" w:line="240" w:lineRule="auto"/>
    </w:pPr>
    <w:rPr>
      <w:rFonts w:ascii="Arial" w:eastAsia="Arial" w:hAnsi="Arial" w:cs="Arial"/>
      <w:lang w:eastAsia="en-GB" w:bidi="en-GB"/>
    </w:rPr>
  </w:style>
  <w:style w:type="character" w:styleId="UnresolvedMention">
    <w:name w:val="Unresolved Mention"/>
    <w:basedOn w:val="DefaultParagraphFont"/>
    <w:uiPriority w:val="99"/>
    <w:semiHidden/>
    <w:unhideWhenUsed/>
    <w:rsid w:val="00675877"/>
    <w:rPr>
      <w:color w:val="605E5C"/>
      <w:shd w:val="clear" w:color="auto" w:fill="E1DFDD"/>
    </w:rPr>
  </w:style>
  <w:style w:type="character" w:customStyle="1" w:styleId="Heading3Char">
    <w:name w:val="Heading 3 Char"/>
    <w:basedOn w:val="DefaultParagraphFont"/>
    <w:link w:val="Heading3"/>
    <w:uiPriority w:val="9"/>
    <w:rsid w:val="002F1DF4"/>
    <w:rPr>
      <w:rFonts w:asciiTheme="majorHAnsi" w:eastAsiaTheme="majorEastAsia" w:hAnsiTheme="majorHAnsi" w:cstheme="majorBidi"/>
      <w:color w:val="1F4D78" w:themeColor="accent1" w:themeShade="7F"/>
      <w:sz w:val="24"/>
      <w:szCs w:val="24"/>
      <w:lang w:eastAsia="en-GB" w:bidi="en-GB"/>
    </w:rPr>
  </w:style>
  <w:style w:type="paragraph" w:styleId="Header">
    <w:name w:val="header"/>
    <w:basedOn w:val="Normal"/>
    <w:link w:val="HeaderChar"/>
    <w:uiPriority w:val="99"/>
    <w:unhideWhenUsed/>
    <w:rsid w:val="00A3601D"/>
    <w:pPr>
      <w:tabs>
        <w:tab w:val="center" w:pos="4513"/>
        <w:tab w:val="right" w:pos="9026"/>
      </w:tabs>
    </w:pPr>
  </w:style>
  <w:style w:type="character" w:customStyle="1" w:styleId="HeaderChar">
    <w:name w:val="Header Char"/>
    <w:basedOn w:val="DefaultParagraphFont"/>
    <w:link w:val="Header"/>
    <w:uiPriority w:val="99"/>
    <w:rsid w:val="00A3601D"/>
    <w:rPr>
      <w:rFonts w:ascii="Arial" w:eastAsia="Arial" w:hAnsi="Arial" w:cs="Arial"/>
      <w:lang w:eastAsia="en-GB" w:bidi="en-GB"/>
    </w:rPr>
  </w:style>
  <w:style w:type="paragraph" w:styleId="Footer">
    <w:name w:val="footer"/>
    <w:basedOn w:val="Normal"/>
    <w:link w:val="FooterChar"/>
    <w:uiPriority w:val="99"/>
    <w:unhideWhenUsed/>
    <w:rsid w:val="00A3601D"/>
    <w:pPr>
      <w:tabs>
        <w:tab w:val="center" w:pos="4513"/>
        <w:tab w:val="right" w:pos="9026"/>
      </w:tabs>
    </w:pPr>
  </w:style>
  <w:style w:type="character" w:customStyle="1" w:styleId="FooterChar">
    <w:name w:val="Footer Char"/>
    <w:basedOn w:val="DefaultParagraphFont"/>
    <w:link w:val="Footer"/>
    <w:uiPriority w:val="99"/>
    <w:rsid w:val="00A3601D"/>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xplore.dwp.gov.uk/" TargetMode="External"/><Relationship Id="rId18" Type="http://schemas.openxmlformats.org/officeDocument/2006/relationships/footer" Target="footer1.xml"/><Relationship Id="rId26" Type="http://schemas.openxmlformats.org/officeDocument/2006/relationships/hyperlink" Target="mailto:mortality@ons.gov.uk" TargetMode="External"/><Relationship Id="rId39" Type="http://schemas.openxmlformats.org/officeDocument/2006/relationships/hyperlink" Target="https://stat-xplore.dwp.gov.uk/" TargetMode="External"/><Relationship Id="rId21" Type="http://schemas.openxmlformats.org/officeDocument/2006/relationships/hyperlink" Target="mailto:Hayley.MacDonald-Jones@cyfoethnaturiolcymru.gov.uk" TargetMode="External"/><Relationship Id="rId34" Type="http://schemas.openxmlformats.org/officeDocument/2006/relationships/hyperlink" Target="http://www.nomisweb.co.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uk/government/statistics/council-tax-stock-of-properties-2023" TargetMode="External"/><Relationship Id="rId20" Type="http://schemas.openxmlformats.org/officeDocument/2006/relationships/hyperlink" Target="mailto:David.Roberts10@Gov.wales" TargetMode="External"/><Relationship Id="rId29" Type="http://schemas.openxmlformats.org/officeDocument/2006/relationships/hyperlink" Target="https://www.nomisweb.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xplore.dwp.gov.uk/" TargetMode="External"/><Relationship Id="rId24" Type="http://schemas.openxmlformats.org/officeDocument/2006/relationships/hyperlink" Target="mailto:LGFPSettlement@gov.wales" TargetMode="External"/><Relationship Id="rId32" Type="http://schemas.openxmlformats.org/officeDocument/2006/relationships/image" Target="media/image1.emf"/><Relationship Id="rId37" Type="http://schemas.openxmlformats.org/officeDocument/2006/relationships/hyperlink" Target="https://stat-xplore.dwp.gov.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uidance/dwp-benefit-statistics-dissemination-tools" TargetMode="External"/><Relationship Id="rId23" Type="http://schemas.openxmlformats.org/officeDocument/2006/relationships/hyperlink" Target="mailto:stats.agric@gov.wales" TargetMode="External"/><Relationship Id="rId28" Type="http://schemas.openxmlformats.org/officeDocument/2006/relationships/hyperlink" Target="mailto:MARITIME.STATS@dft.gov.uk" TargetMode="External"/><Relationship Id="rId36" Type="http://schemas.openxmlformats.org/officeDocument/2006/relationships/hyperlink" Target="https://stat-xplore.dwp.gov.uk/" TargetMode="External"/><Relationship Id="rId10" Type="http://schemas.openxmlformats.org/officeDocument/2006/relationships/hyperlink" Target="https://www.gov.uk/government/statistical-data-sets/port-and-domestic-waterborne-freight-statistics-port" TargetMode="External"/><Relationship Id="rId19" Type="http://schemas.openxmlformats.org/officeDocument/2006/relationships/hyperlink" Target="mailto:Planning.Directorate@gov.wales" TargetMode="External"/><Relationship Id="rId31" Type="http://schemas.openxmlformats.org/officeDocument/2006/relationships/hyperlink" Target="mailto:LGFPSettlement@Gov.wales" TargetMode="External"/><Relationship Id="rId4" Type="http://schemas.openxmlformats.org/officeDocument/2006/relationships/styles" Target="styles.xml"/><Relationship Id="rId9" Type="http://schemas.openxmlformats.org/officeDocument/2006/relationships/hyperlink" Target="https://gov.wales/development-management-quarterly-surveys" TargetMode="External"/><Relationship Id="rId14" Type="http://schemas.openxmlformats.org/officeDocument/2006/relationships/hyperlink" Target="https://stat-xplore.dwp.gov.uk/" TargetMode="External"/><Relationship Id="rId22" Type="http://schemas.openxmlformats.org/officeDocument/2006/relationships/hyperlink" Target="mailto:FloodCoastalRisk@gov.wales" TargetMode="External"/><Relationship Id="rId27" Type="http://schemas.openxmlformats.org/officeDocument/2006/relationships/hyperlink" Target="mailto:LocalTaxationPolicy@gov.wales" TargetMode="External"/><Relationship Id="rId30" Type="http://schemas.openxmlformats.org/officeDocument/2006/relationships/hyperlink" Target="https://stat-xplore.dwp.gov.uk/webapi/jsf/login.xhtml" TargetMode="External"/><Relationship Id="rId35" Type="http://schemas.openxmlformats.org/officeDocument/2006/relationships/hyperlink" Target="https://stat-xplore.dwp.gov.uk/"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tat-xplore.dwp.gov.uk/" TargetMode="External"/><Relationship Id="rId17" Type="http://schemas.openxmlformats.org/officeDocument/2006/relationships/hyperlink" Target="https://statswales.gov.wales/Catalogue/Transport/Roads/Lengths-and-Conditions/roadlength-by-typeofroad-localauthority-year" TargetMode="External"/><Relationship Id="rId25" Type="http://schemas.openxmlformats.org/officeDocument/2006/relationships/hyperlink" Target="mailto:LGFPSettlement@gov.wales" TargetMode="External"/><Relationship Id="rId33" Type="http://schemas.openxmlformats.org/officeDocument/2006/relationships/package" Target="embeddings/Microsoft_Excel_Worksheet.xlsx"/><Relationship Id="rId38" Type="http://schemas.openxmlformats.org/officeDocument/2006/relationships/hyperlink" Target="https://stat-xplore.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A47161542</value>
    </field>
    <field name="Objective-Title">
      <value order="0">Data Note Round 1</value>
    </field>
    <field name="Objective-Description">
      <value order="0"/>
    </field>
    <field name="Objective-CreationStamp">
      <value order="0">2022-06-28T13:03:57Z</value>
    </field>
    <field name="Objective-IsApproved">
      <value order="0">false</value>
    </field>
    <field name="Objective-IsPublished">
      <value order="0">false</value>
    </field>
    <field name="Objective-DatePublished">
      <value order="0"/>
    </field>
    <field name="Objective-ModificationStamp">
      <value order="0">2023-10-10T12:00:36Z</value>
    </field>
    <field name="Objective-Owner">
      <value order="0">Koe, James (CRLG - Local Government - Local Gov. Funding)</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Settlement:Administration:2024-2025:Local Authorities - 2024-2025 - Data Validation:Web Team Final Documents</value>
    </field>
    <field name="Objective-Parent">
      <value order="0">Web Team Final Documents</value>
    </field>
    <field name="Objective-State">
      <value order="0">Being Edited</value>
    </field>
    <field name="Objective-VersionId">
      <value order="0">vA89238535</value>
    </field>
    <field name="Objective-Version">
      <value order="0">3.1</value>
    </field>
    <field name="Objective-VersionNumber">
      <value order="0">5</value>
    </field>
    <field name="Objective-VersionComment">
      <value order="0"/>
    </field>
    <field name="Objective-FileNumber">
      <value order="0">qA1736193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2C543E1-62B4-4F43-8A84-C83920D2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18919</Characters>
  <Application>Microsoft Office Word</Application>
  <DocSecurity>4</DocSecurity>
  <Lines>157</Lines>
  <Paragraphs>44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Local Government Settlement Data Verification - October 2021</vt:lpstr>
      <vt:lpstr>Local Government Settlement Data Verification - October 2021</vt:lpstr>
    </vt:vector>
  </TitlesOfParts>
  <Company>Welsh Government</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Settlement Data Verification - October 2021</dc:title>
  <dc:subject/>
  <dc:creator>Caddick, Ashley (EPS - LGFWP)</dc:creator>
  <cp:keywords/>
  <dc:description/>
  <cp:lastModifiedBy>Fulker, Louise (ESJWL - ESJ Operations - SJLGC Comms)</cp:lastModifiedBy>
  <cp:revision>2</cp:revision>
  <dcterms:created xsi:type="dcterms:W3CDTF">2023-10-11T14:16:00Z</dcterms:created>
  <dcterms:modified xsi:type="dcterms:W3CDTF">2023-10-11T14:16:00Z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A47161542</vt:lpwstr>
  </property>
  <property fmtid="{D5CDD505-2E9C-101B-9397-08002B2CF9AE}" pid="4" name="Objective-Title">
    <vt:lpwstr>Data Note Round 1</vt:lpwstr>
  </property>
  <property fmtid="{D5CDD505-2E9C-101B-9397-08002B2CF9AE}" pid="5" name="Objective-Description">
    <vt:lpwstr/>
  </property>
  <property fmtid="{D5CDD505-2E9C-101B-9397-08002B2CF9AE}" pid="6" name="Objective-CreationStamp">
    <vt:filetime>2023-10-09T10:59:30Z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2023-10-10T12:00:36Z</vt:filetime>
  </property>
  <property fmtid="{D5CDD505-2E9C-101B-9397-08002B2CF9AE}" pid="11" name="Objective-Owner">
    <vt:lpwstr>Koe, James (CRLG - Local Government - Local Gov. Funding)</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Settlement:Administration:2024-2025:Local Authorities - 2024-2025 - Data Validation:Web Team Final Documents:</vt:lpwstr>
  </property>
  <property fmtid="{D5CDD505-2E9C-101B-9397-08002B2CF9AE}" pid="13" name="Objective-Parent">
    <vt:lpwstr>Web Team Final Documents</vt:lpwstr>
  </property>
  <property fmtid="{D5CDD505-2E9C-101B-9397-08002B2CF9AE}" pid="14" name="Objective-State">
    <vt:lpwstr>Being Edited</vt:lpwstr>
  </property>
  <property fmtid="{D5CDD505-2E9C-101B-9397-08002B2CF9AE}" pid="15" name="Objective-VersionId">
    <vt:lpwstr>vA89238535</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qA1736193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