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8306A" w14:textId="311EBB2F" w:rsidR="00664DC6" w:rsidRPr="00B60688" w:rsidRDefault="00642F6B" w:rsidP="00B60688">
      <w:pPr>
        <w:pStyle w:val="Title0"/>
        <w:rPr>
          <w:rStyle w:val="Emphasis"/>
          <w:i w:val="0"/>
          <w:iCs w:val="0"/>
        </w:rPr>
      </w:pPr>
      <w:r w:rsidRPr="00B60688">
        <w:rPr>
          <w:rStyle w:val="Emphasis"/>
          <w:i w:val="0"/>
          <w:iCs w:val="0"/>
        </w:rPr>
        <w:t xml:space="preserve">Welsh </w:t>
      </w:r>
      <w:r w:rsidR="002415D8" w:rsidRPr="00B60688">
        <w:rPr>
          <w:rStyle w:val="Emphasis"/>
          <w:i w:val="0"/>
          <w:iCs w:val="0"/>
        </w:rPr>
        <w:t>Ministers</w:t>
      </w:r>
    </w:p>
    <w:p w14:paraId="79AC5FC7" w14:textId="2E2F6A27" w:rsidR="00664DC6" w:rsidRPr="00394A5B" w:rsidRDefault="000B6A6F" w:rsidP="00394A5B">
      <w:pPr>
        <w:pStyle w:val="Title"/>
        <w:contextualSpacing w:val="0"/>
      </w:pPr>
      <w:r w:rsidRPr="00394A5B">
        <w:t>Local Government Financ</w:t>
      </w:r>
      <w:r w:rsidR="002E6C7F" w:rsidRPr="00394A5B">
        <w:t>e</w:t>
      </w:r>
      <w:r w:rsidRPr="00394A5B">
        <w:t xml:space="preserve"> Report</w:t>
      </w:r>
      <w:r w:rsidR="00E721B5" w:rsidRPr="00394A5B">
        <w:t xml:space="preserve"> </w:t>
      </w:r>
      <w:r w:rsidR="00CC41D0" w:rsidRPr="00394A5B">
        <w:t>(No</w:t>
      </w:r>
      <w:r w:rsidR="00664DC6" w:rsidRPr="00394A5B">
        <w:t>.1)</w:t>
      </w:r>
      <w:r w:rsidR="00572B1E" w:rsidRPr="00394A5B">
        <w:t xml:space="preserve"> </w:t>
      </w:r>
      <w:r w:rsidR="00FB1493" w:rsidRPr="00394A5B">
        <w:t>202</w:t>
      </w:r>
      <w:r w:rsidR="00225CE6" w:rsidRPr="00394A5B">
        <w:t>2</w:t>
      </w:r>
      <w:r w:rsidR="00FB1493" w:rsidRPr="00394A5B">
        <w:t>-2</w:t>
      </w:r>
      <w:r w:rsidR="00225CE6" w:rsidRPr="00394A5B">
        <w:t>3</w:t>
      </w:r>
      <w:r w:rsidR="00394A5B" w:rsidRPr="00394A5B">
        <w:t xml:space="preserve"> </w:t>
      </w:r>
      <w:r w:rsidR="00575197" w:rsidRPr="00394A5B">
        <w:t>(</w:t>
      </w:r>
      <w:bookmarkStart w:id="0" w:name="_GoBack"/>
      <w:r w:rsidR="0071138A" w:rsidRPr="00394A5B">
        <w:t>Final</w:t>
      </w:r>
      <w:r w:rsidR="00394A5B" w:rsidRPr="00394A5B">
        <w:t> </w:t>
      </w:r>
      <w:r w:rsidR="00664DC6" w:rsidRPr="00394A5B">
        <w:t>Settlement</w:t>
      </w:r>
      <w:r w:rsidR="00394A5B" w:rsidRPr="00394A5B">
        <w:t xml:space="preserve"> – C</w:t>
      </w:r>
      <w:r w:rsidR="00664DC6" w:rsidRPr="00394A5B">
        <w:t>ouncils</w:t>
      </w:r>
      <w:bookmarkEnd w:id="0"/>
      <w:r w:rsidR="00664DC6" w:rsidRPr="00394A5B">
        <w:t>)</w:t>
      </w:r>
    </w:p>
    <w:p w14:paraId="51EDD7F0" w14:textId="77777777" w:rsidR="00394A5B" w:rsidRPr="00394A5B" w:rsidRDefault="00394A5B" w:rsidP="00394A5B"/>
    <w:p w14:paraId="009B9794" w14:textId="289AB3BB" w:rsidR="00F739B5" w:rsidRPr="00394A5B" w:rsidRDefault="00664DC6" w:rsidP="00394A5B">
      <w:r w:rsidRPr="00394A5B">
        <w:br w:type="page"/>
      </w:r>
    </w:p>
    <w:p w14:paraId="6C12C7DA" w14:textId="77777777" w:rsidR="00B472B0" w:rsidRPr="00394A5B" w:rsidRDefault="00B472B0" w:rsidP="003D4E26">
      <w:pPr>
        <w:rPr>
          <w:rFonts w:cs="Arial"/>
        </w:rPr>
      </w:pPr>
    </w:p>
    <w:p w14:paraId="2789F427" w14:textId="77777777" w:rsidR="00664DC6" w:rsidRPr="00394A5B" w:rsidRDefault="00664DC6" w:rsidP="00076E09">
      <w:pPr>
        <w:rPr>
          <w:rFonts w:cs="Arial"/>
          <w:b/>
          <w:bCs/>
          <w:sz w:val="32"/>
          <w:szCs w:val="32"/>
        </w:rPr>
      </w:pPr>
      <w:r w:rsidRPr="00394A5B">
        <w:rPr>
          <w:rFonts w:cs="Arial"/>
          <w:b/>
          <w:bCs/>
          <w:sz w:val="32"/>
          <w:szCs w:val="32"/>
        </w:rPr>
        <w:t>CONTENTS</w:t>
      </w:r>
    </w:p>
    <w:p w14:paraId="72684838" w14:textId="77777777" w:rsidR="00664DC6" w:rsidRPr="00394A5B" w:rsidRDefault="00664DC6" w:rsidP="003D4E26">
      <w:pPr>
        <w:rPr>
          <w:rFonts w:cs="Arial"/>
          <w:b/>
        </w:rPr>
      </w:pPr>
    </w:p>
    <w:p w14:paraId="25A77432" w14:textId="77777777" w:rsidR="00B472B0" w:rsidRPr="00394A5B" w:rsidRDefault="00B472B0" w:rsidP="003D4E26">
      <w:pPr>
        <w:rPr>
          <w:rFonts w:cs="Arial"/>
          <w:b/>
        </w:rPr>
      </w:pPr>
    </w:p>
    <w:p w14:paraId="42469EA7" w14:textId="4BF528B7" w:rsidR="001634AA" w:rsidRPr="00394A5B" w:rsidRDefault="00B472B0">
      <w:pPr>
        <w:pStyle w:val="TOC1"/>
        <w:tabs>
          <w:tab w:val="right" w:leader="dot" w:pos="973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394A5B">
        <w:rPr>
          <w:rFonts w:cs="Arial"/>
          <w:b w:val="0"/>
          <w:u w:val="single"/>
        </w:rPr>
        <w:fldChar w:fldCharType="begin"/>
      </w:r>
      <w:r w:rsidRPr="00394A5B">
        <w:rPr>
          <w:rFonts w:cs="Arial"/>
          <w:b w:val="0"/>
          <w:u w:val="single"/>
        </w:rPr>
        <w:instrText xml:space="preserve"> TOC \o "1-3" \h \z \u </w:instrText>
      </w:r>
      <w:r w:rsidRPr="00394A5B">
        <w:rPr>
          <w:rFonts w:cs="Arial"/>
          <w:b w:val="0"/>
          <w:u w:val="single"/>
        </w:rPr>
        <w:fldChar w:fldCharType="separate"/>
      </w:r>
      <w:hyperlink w:anchor="_Toc58999022" w:history="1">
        <w:r w:rsidR="001634AA" w:rsidRPr="00394A5B">
          <w:rPr>
            <w:rStyle w:val="Hyperlink"/>
            <w:noProof/>
            <w:color w:val="auto"/>
          </w:rPr>
          <w:t>SECTION ONE: PURPOSE OF REPORT AND MAIN PROPOSALS</w:t>
        </w:r>
        <w:r w:rsidR="001634AA" w:rsidRPr="00394A5B">
          <w:rPr>
            <w:noProof/>
            <w:webHidden/>
          </w:rPr>
          <w:tab/>
        </w:r>
        <w:r w:rsidR="001634AA" w:rsidRPr="00394A5B">
          <w:rPr>
            <w:noProof/>
            <w:webHidden/>
          </w:rPr>
          <w:fldChar w:fldCharType="begin"/>
        </w:r>
        <w:r w:rsidR="001634AA" w:rsidRPr="00394A5B">
          <w:rPr>
            <w:noProof/>
            <w:webHidden/>
          </w:rPr>
          <w:instrText xml:space="preserve"> PAGEREF _Toc58999022 \h </w:instrText>
        </w:r>
        <w:r w:rsidR="001634AA" w:rsidRPr="00394A5B">
          <w:rPr>
            <w:noProof/>
            <w:webHidden/>
          </w:rPr>
        </w:r>
        <w:r w:rsidR="001634AA" w:rsidRPr="00394A5B">
          <w:rPr>
            <w:noProof/>
            <w:webHidden/>
          </w:rPr>
          <w:fldChar w:fldCharType="separate"/>
        </w:r>
        <w:r w:rsidR="009C7E57" w:rsidRPr="00394A5B">
          <w:rPr>
            <w:noProof/>
            <w:webHidden/>
          </w:rPr>
          <w:t>3</w:t>
        </w:r>
        <w:r w:rsidR="001634AA" w:rsidRPr="00394A5B">
          <w:rPr>
            <w:noProof/>
            <w:webHidden/>
          </w:rPr>
          <w:fldChar w:fldCharType="end"/>
        </w:r>
      </w:hyperlink>
    </w:p>
    <w:p w14:paraId="2A413AD2" w14:textId="0497A28F" w:rsidR="001634AA" w:rsidRPr="00394A5B" w:rsidRDefault="00DA5905">
      <w:pPr>
        <w:pStyle w:val="TOC2"/>
        <w:tabs>
          <w:tab w:val="right" w:leader="dot" w:pos="973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8999023" w:history="1">
        <w:r w:rsidR="00F9177B">
          <w:rPr>
            <w:rStyle w:val="Hyperlink"/>
            <w:noProof/>
            <w:color w:val="auto"/>
          </w:rPr>
          <w:t>Chapter </w:t>
        </w:r>
        <w:r w:rsidR="001634AA" w:rsidRPr="00394A5B">
          <w:rPr>
            <w:rStyle w:val="Hyperlink"/>
            <w:noProof/>
            <w:color w:val="auto"/>
          </w:rPr>
          <w:t>1: Purpose of report</w:t>
        </w:r>
        <w:r w:rsidR="001634AA" w:rsidRPr="00394A5B">
          <w:rPr>
            <w:noProof/>
            <w:webHidden/>
          </w:rPr>
          <w:tab/>
        </w:r>
        <w:r w:rsidR="001634AA" w:rsidRPr="00394A5B">
          <w:rPr>
            <w:noProof/>
            <w:webHidden/>
          </w:rPr>
          <w:fldChar w:fldCharType="begin"/>
        </w:r>
        <w:r w:rsidR="001634AA" w:rsidRPr="00394A5B">
          <w:rPr>
            <w:noProof/>
            <w:webHidden/>
          </w:rPr>
          <w:instrText xml:space="preserve"> PAGEREF _Toc58999023 \h </w:instrText>
        </w:r>
        <w:r w:rsidR="001634AA" w:rsidRPr="00394A5B">
          <w:rPr>
            <w:noProof/>
            <w:webHidden/>
          </w:rPr>
        </w:r>
        <w:r w:rsidR="001634AA" w:rsidRPr="00394A5B">
          <w:rPr>
            <w:noProof/>
            <w:webHidden/>
          </w:rPr>
          <w:fldChar w:fldCharType="separate"/>
        </w:r>
        <w:r w:rsidR="009C7E57" w:rsidRPr="00394A5B">
          <w:rPr>
            <w:noProof/>
            <w:webHidden/>
          </w:rPr>
          <w:t>3</w:t>
        </w:r>
        <w:r w:rsidR="001634AA" w:rsidRPr="00394A5B">
          <w:rPr>
            <w:noProof/>
            <w:webHidden/>
          </w:rPr>
          <w:fldChar w:fldCharType="end"/>
        </w:r>
      </w:hyperlink>
    </w:p>
    <w:p w14:paraId="237A4F13" w14:textId="73B52EE5" w:rsidR="001634AA" w:rsidRPr="00394A5B" w:rsidRDefault="00DA5905">
      <w:pPr>
        <w:pStyle w:val="TOC2"/>
        <w:tabs>
          <w:tab w:val="right" w:leader="dot" w:pos="973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8999024" w:history="1">
        <w:r w:rsidR="00F9177B">
          <w:rPr>
            <w:rStyle w:val="Hyperlink"/>
            <w:noProof/>
            <w:color w:val="auto"/>
          </w:rPr>
          <w:t>Chapter </w:t>
        </w:r>
        <w:r w:rsidR="001634AA" w:rsidRPr="00394A5B">
          <w:rPr>
            <w:rStyle w:val="Hyperlink"/>
            <w:noProof/>
            <w:color w:val="auto"/>
          </w:rPr>
          <w:t>2: Main Proposals</w:t>
        </w:r>
        <w:r w:rsidR="001634AA" w:rsidRPr="00394A5B">
          <w:rPr>
            <w:noProof/>
            <w:webHidden/>
          </w:rPr>
          <w:tab/>
        </w:r>
        <w:r w:rsidR="001634AA" w:rsidRPr="00394A5B">
          <w:rPr>
            <w:noProof/>
            <w:webHidden/>
          </w:rPr>
          <w:fldChar w:fldCharType="begin"/>
        </w:r>
        <w:r w:rsidR="001634AA" w:rsidRPr="00394A5B">
          <w:rPr>
            <w:noProof/>
            <w:webHidden/>
          </w:rPr>
          <w:instrText xml:space="preserve"> PAGEREF _Toc58999024 \h </w:instrText>
        </w:r>
        <w:r w:rsidR="001634AA" w:rsidRPr="00394A5B">
          <w:rPr>
            <w:noProof/>
            <w:webHidden/>
          </w:rPr>
        </w:r>
        <w:r w:rsidR="001634AA" w:rsidRPr="00394A5B">
          <w:rPr>
            <w:noProof/>
            <w:webHidden/>
          </w:rPr>
          <w:fldChar w:fldCharType="separate"/>
        </w:r>
        <w:r w:rsidR="009C7E57" w:rsidRPr="00394A5B">
          <w:rPr>
            <w:noProof/>
            <w:webHidden/>
          </w:rPr>
          <w:t>4</w:t>
        </w:r>
        <w:r w:rsidR="001634AA" w:rsidRPr="00394A5B">
          <w:rPr>
            <w:noProof/>
            <w:webHidden/>
          </w:rPr>
          <w:fldChar w:fldCharType="end"/>
        </w:r>
      </w:hyperlink>
    </w:p>
    <w:p w14:paraId="26385C01" w14:textId="5107F435" w:rsidR="001634AA" w:rsidRPr="00394A5B" w:rsidRDefault="00DA5905">
      <w:pPr>
        <w:pStyle w:val="TOC1"/>
        <w:tabs>
          <w:tab w:val="right" w:leader="dot" w:pos="973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8999025" w:history="1">
        <w:r w:rsidR="001634AA" w:rsidRPr="00394A5B">
          <w:rPr>
            <w:rStyle w:val="Hyperlink"/>
            <w:noProof/>
            <w:color w:val="auto"/>
          </w:rPr>
          <w:t>SECTION TWO: COUNCILS</w:t>
        </w:r>
        <w:r w:rsidR="001634AA" w:rsidRPr="00394A5B">
          <w:rPr>
            <w:noProof/>
            <w:webHidden/>
          </w:rPr>
          <w:tab/>
        </w:r>
        <w:r w:rsidR="001634AA" w:rsidRPr="00394A5B">
          <w:rPr>
            <w:noProof/>
            <w:webHidden/>
          </w:rPr>
          <w:fldChar w:fldCharType="begin"/>
        </w:r>
        <w:r w:rsidR="001634AA" w:rsidRPr="00394A5B">
          <w:rPr>
            <w:noProof/>
            <w:webHidden/>
          </w:rPr>
          <w:instrText xml:space="preserve"> PAGEREF _Toc58999025 \h </w:instrText>
        </w:r>
        <w:r w:rsidR="001634AA" w:rsidRPr="00394A5B">
          <w:rPr>
            <w:noProof/>
            <w:webHidden/>
          </w:rPr>
        </w:r>
        <w:r w:rsidR="001634AA" w:rsidRPr="00394A5B">
          <w:rPr>
            <w:noProof/>
            <w:webHidden/>
          </w:rPr>
          <w:fldChar w:fldCharType="separate"/>
        </w:r>
        <w:r w:rsidR="009C7E57" w:rsidRPr="00394A5B">
          <w:rPr>
            <w:noProof/>
            <w:webHidden/>
          </w:rPr>
          <w:t>5</w:t>
        </w:r>
        <w:r w:rsidR="001634AA" w:rsidRPr="00394A5B">
          <w:rPr>
            <w:noProof/>
            <w:webHidden/>
          </w:rPr>
          <w:fldChar w:fldCharType="end"/>
        </w:r>
      </w:hyperlink>
    </w:p>
    <w:p w14:paraId="5B2E4C82" w14:textId="61175A29" w:rsidR="001634AA" w:rsidRPr="00394A5B" w:rsidRDefault="00DA5905">
      <w:pPr>
        <w:pStyle w:val="TOC2"/>
        <w:tabs>
          <w:tab w:val="right" w:leader="dot" w:pos="973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8999026" w:history="1">
        <w:r w:rsidR="00F9177B">
          <w:rPr>
            <w:rStyle w:val="Hyperlink"/>
            <w:noProof/>
            <w:color w:val="auto"/>
          </w:rPr>
          <w:t>Chapter </w:t>
        </w:r>
        <w:r w:rsidR="001634AA" w:rsidRPr="00394A5B">
          <w:rPr>
            <w:rStyle w:val="Hyperlink"/>
            <w:noProof/>
            <w:color w:val="auto"/>
          </w:rPr>
          <w:t xml:space="preserve">3: Calculation of </w:t>
        </w:r>
        <w:r w:rsidR="00685827">
          <w:rPr>
            <w:rStyle w:val="Hyperlink"/>
            <w:noProof/>
            <w:color w:val="auto"/>
          </w:rPr>
          <w:t>the </w:t>
        </w:r>
        <w:r w:rsidR="001634AA" w:rsidRPr="00394A5B">
          <w:rPr>
            <w:rStyle w:val="Hyperlink"/>
            <w:noProof/>
            <w:color w:val="auto"/>
          </w:rPr>
          <w:t>amount of Revenue Support Grant for each Council</w:t>
        </w:r>
        <w:r w:rsidR="001634AA" w:rsidRPr="00394A5B">
          <w:rPr>
            <w:noProof/>
            <w:webHidden/>
          </w:rPr>
          <w:tab/>
        </w:r>
        <w:r w:rsidR="001634AA" w:rsidRPr="00394A5B">
          <w:rPr>
            <w:noProof/>
            <w:webHidden/>
          </w:rPr>
          <w:fldChar w:fldCharType="begin"/>
        </w:r>
        <w:r w:rsidR="001634AA" w:rsidRPr="00394A5B">
          <w:rPr>
            <w:noProof/>
            <w:webHidden/>
          </w:rPr>
          <w:instrText xml:space="preserve"> PAGEREF _Toc58999026 \h </w:instrText>
        </w:r>
        <w:r w:rsidR="001634AA" w:rsidRPr="00394A5B">
          <w:rPr>
            <w:noProof/>
            <w:webHidden/>
          </w:rPr>
        </w:r>
        <w:r w:rsidR="001634AA" w:rsidRPr="00394A5B">
          <w:rPr>
            <w:noProof/>
            <w:webHidden/>
          </w:rPr>
          <w:fldChar w:fldCharType="separate"/>
        </w:r>
        <w:r w:rsidR="009C7E57" w:rsidRPr="00394A5B">
          <w:rPr>
            <w:noProof/>
            <w:webHidden/>
          </w:rPr>
          <w:t>5</w:t>
        </w:r>
        <w:r w:rsidR="001634AA" w:rsidRPr="00394A5B">
          <w:rPr>
            <w:noProof/>
            <w:webHidden/>
          </w:rPr>
          <w:fldChar w:fldCharType="end"/>
        </w:r>
      </w:hyperlink>
    </w:p>
    <w:p w14:paraId="1A39EF45" w14:textId="6384D735" w:rsidR="001634AA" w:rsidRPr="00394A5B" w:rsidRDefault="00DA5905">
      <w:pPr>
        <w:pStyle w:val="TOC2"/>
        <w:tabs>
          <w:tab w:val="right" w:leader="dot" w:pos="973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8999027" w:history="1">
        <w:r w:rsidR="00F9177B">
          <w:rPr>
            <w:rStyle w:val="Hyperlink"/>
            <w:noProof/>
            <w:color w:val="auto"/>
          </w:rPr>
          <w:t>Chapter </w:t>
        </w:r>
        <w:r w:rsidR="001634AA" w:rsidRPr="00394A5B">
          <w:rPr>
            <w:rStyle w:val="Hyperlink"/>
            <w:noProof/>
            <w:color w:val="auto"/>
          </w:rPr>
          <w:t xml:space="preserve">4: Calculation of </w:t>
        </w:r>
        <w:r w:rsidR="00685827">
          <w:rPr>
            <w:rStyle w:val="Hyperlink"/>
            <w:noProof/>
            <w:color w:val="auto"/>
          </w:rPr>
          <w:t>the </w:t>
        </w:r>
        <w:r w:rsidR="001634AA" w:rsidRPr="00394A5B">
          <w:rPr>
            <w:rStyle w:val="Hyperlink"/>
            <w:noProof/>
            <w:color w:val="auto"/>
          </w:rPr>
          <w:t>amount of non-domestic rates for each Council</w:t>
        </w:r>
        <w:r w:rsidR="001634AA" w:rsidRPr="00394A5B">
          <w:rPr>
            <w:noProof/>
            <w:webHidden/>
          </w:rPr>
          <w:tab/>
        </w:r>
        <w:r w:rsidR="001634AA" w:rsidRPr="00394A5B">
          <w:rPr>
            <w:noProof/>
            <w:webHidden/>
          </w:rPr>
          <w:fldChar w:fldCharType="begin"/>
        </w:r>
        <w:r w:rsidR="001634AA" w:rsidRPr="00394A5B">
          <w:rPr>
            <w:noProof/>
            <w:webHidden/>
          </w:rPr>
          <w:instrText xml:space="preserve"> PAGEREF _Toc58999027 \h </w:instrText>
        </w:r>
        <w:r w:rsidR="001634AA" w:rsidRPr="00394A5B">
          <w:rPr>
            <w:noProof/>
            <w:webHidden/>
          </w:rPr>
        </w:r>
        <w:r w:rsidR="001634AA" w:rsidRPr="00394A5B">
          <w:rPr>
            <w:noProof/>
            <w:webHidden/>
          </w:rPr>
          <w:fldChar w:fldCharType="separate"/>
        </w:r>
        <w:r w:rsidR="009C7E57" w:rsidRPr="00394A5B">
          <w:rPr>
            <w:noProof/>
            <w:webHidden/>
          </w:rPr>
          <w:t>8</w:t>
        </w:r>
        <w:r w:rsidR="001634AA" w:rsidRPr="00394A5B">
          <w:rPr>
            <w:noProof/>
            <w:webHidden/>
          </w:rPr>
          <w:fldChar w:fldCharType="end"/>
        </w:r>
      </w:hyperlink>
    </w:p>
    <w:p w14:paraId="3B9CEDF4" w14:textId="2740B2F6" w:rsidR="001634AA" w:rsidRPr="00394A5B" w:rsidRDefault="00DA5905">
      <w:pPr>
        <w:pStyle w:val="TOC2"/>
        <w:tabs>
          <w:tab w:val="right" w:leader="dot" w:pos="973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8999028" w:history="1">
        <w:r w:rsidR="00F9177B">
          <w:rPr>
            <w:rStyle w:val="Hyperlink"/>
            <w:noProof/>
            <w:color w:val="auto"/>
          </w:rPr>
          <w:t>Chapter </w:t>
        </w:r>
        <w:r w:rsidR="001634AA" w:rsidRPr="00394A5B">
          <w:rPr>
            <w:rStyle w:val="Hyperlink"/>
            <w:noProof/>
            <w:color w:val="auto"/>
          </w:rPr>
          <w:t xml:space="preserve">5: Calculation of </w:t>
        </w:r>
        <w:r w:rsidR="00685827">
          <w:rPr>
            <w:rStyle w:val="Hyperlink"/>
            <w:noProof/>
            <w:color w:val="auto"/>
          </w:rPr>
          <w:t>the </w:t>
        </w:r>
        <w:r w:rsidR="001634AA" w:rsidRPr="00394A5B">
          <w:rPr>
            <w:rStyle w:val="Hyperlink"/>
            <w:noProof/>
            <w:color w:val="auto"/>
          </w:rPr>
          <w:t>Standard Spending Assessment for each Council</w:t>
        </w:r>
        <w:r w:rsidR="001634AA" w:rsidRPr="00394A5B">
          <w:rPr>
            <w:noProof/>
            <w:webHidden/>
          </w:rPr>
          <w:tab/>
        </w:r>
        <w:r w:rsidR="001634AA" w:rsidRPr="00394A5B">
          <w:rPr>
            <w:noProof/>
            <w:webHidden/>
          </w:rPr>
          <w:fldChar w:fldCharType="begin"/>
        </w:r>
        <w:r w:rsidR="001634AA" w:rsidRPr="00394A5B">
          <w:rPr>
            <w:noProof/>
            <w:webHidden/>
          </w:rPr>
          <w:instrText xml:space="preserve"> PAGEREF _Toc58999028 \h </w:instrText>
        </w:r>
        <w:r w:rsidR="001634AA" w:rsidRPr="00394A5B">
          <w:rPr>
            <w:noProof/>
            <w:webHidden/>
          </w:rPr>
        </w:r>
        <w:r w:rsidR="001634AA" w:rsidRPr="00394A5B">
          <w:rPr>
            <w:noProof/>
            <w:webHidden/>
          </w:rPr>
          <w:fldChar w:fldCharType="separate"/>
        </w:r>
        <w:r w:rsidR="009C7E57" w:rsidRPr="00394A5B">
          <w:rPr>
            <w:noProof/>
            <w:webHidden/>
          </w:rPr>
          <w:t>10</w:t>
        </w:r>
        <w:r w:rsidR="001634AA" w:rsidRPr="00394A5B">
          <w:rPr>
            <w:noProof/>
            <w:webHidden/>
          </w:rPr>
          <w:fldChar w:fldCharType="end"/>
        </w:r>
      </w:hyperlink>
    </w:p>
    <w:p w14:paraId="0E6172D9" w14:textId="1E0D0E12" w:rsidR="001634AA" w:rsidRPr="00394A5B" w:rsidRDefault="00DA5905">
      <w:pPr>
        <w:pStyle w:val="TOC1"/>
        <w:tabs>
          <w:tab w:val="right" w:leader="dot" w:pos="973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8999029" w:history="1">
        <w:r w:rsidR="001634AA" w:rsidRPr="00394A5B">
          <w:rPr>
            <w:rStyle w:val="Hyperlink"/>
            <w:noProof/>
            <w:color w:val="auto"/>
          </w:rPr>
          <w:t>SECTION THREE - ANNEXES TO THE REPORT</w:t>
        </w:r>
        <w:r w:rsidR="001634AA" w:rsidRPr="00394A5B">
          <w:rPr>
            <w:noProof/>
            <w:webHidden/>
          </w:rPr>
          <w:tab/>
        </w:r>
        <w:r w:rsidR="001634AA" w:rsidRPr="00394A5B">
          <w:rPr>
            <w:noProof/>
            <w:webHidden/>
          </w:rPr>
          <w:fldChar w:fldCharType="begin"/>
        </w:r>
        <w:r w:rsidR="001634AA" w:rsidRPr="00394A5B">
          <w:rPr>
            <w:noProof/>
            <w:webHidden/>
          </w:rPr>
          <w:instrText xml:space="preserve"> PAGEREF _Toc58999029 \h </w:instrText>
        </w:r>
        <w:r w:rsidR="001634AA" w:rsidRPr="00394A5B">
          <w:rPr>
            <w:noProof/>
            <w:webHidden/>
          </w:rPr>
        </w:r>
        <w:r w:rsidR="001634AA" w:rsidRPr="00394A5B">
          <w:rPr>
            <w:noProof/>
            <w:webHidden/>
          </w:rPr>
          <w:fldChar w:fldCharType="separate"/>
        </w:r>
        <w:r w:rsidR="009C7E57" w:rsidRPr="00394A5B">
          <w:rPr>
            <w:noProof/>
            <w:webHidden/>
          </w:rPr>
          <w:t>11</w:t>
        </w:r>
        <w:r w:rsidR="001634AA" w:rsidRPr="00394A5B">
          <w:rPr>
            <w:noProof/>
            <w:webHidden/>
          </w:rPr>
          <w:fldChar w:fldCharType="end"/>
        </w:r>
      </w:hyperlink>
    </w:p>
    <w:p w14:paraId="4B7FB411" w14:textId="65B5DEC1" w:rsidR="001634AA" w:rsidRPr="00394A5B" w:rsidRDefault="00DA5905">
      <w:pPr>
        <w:pStyle w:val="TOC2"/>
        <w:tabs>
          <w:tab w:val="right" w:leader="dot" w:pos="973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8999030" w:history="1">
        <w:r w:rsidR="001634AA" w:rsidRPr="00394A5B">
          <w:rPr>
            <w:rStyle w:val="Hyperlink"/>
            <w:noProof/>
            <w:color w:val="auto"/>
          </w:rPr>
          <w:t>Annex 1: Amounts of Revenue Support Grant to be paid to Specified Bodies</w:t>
        </w:r>
        <w:r w:rsidR="001634AA" w:rsidRPr="00394A5B">
          <w:rPr>
            <w:noProof/>
            <w:webHidden/>
          </w:rPr>
          <w:tab/>
        </w:r>
        <w:r w:rsidR="001634AA" w:rsidRPr="00394A5B">
          <w:rPr>
            <w:noProof/>
            <w:webHidden/>
          </w:rPr>
          <w:fldChar w:fldCharType="begin"/>
        </w:r>
        <w:r w:rsidR="001634AA" w:rsidRPr="00394A5B">
          <w:rPr>
            <w:noProof/>
            <w:webHidden/>
          </w:rPr>
          <w:instrText xml:space="preserve"> PAGEREF _Toc58999030 \h </w:instrText>
        </w:r>
        <w:r w:rsidR="001634AA" w:rsidRPr="00394A5B">
          <w:rPr>
            <w:noProof/>
            <w:webHidden/>
          </w:rPr>
        </w:r>
        <w:r w:rsidR="001634AA" w:rsidRPr="00394A5B">
          <w:rPr>
            <w:noProof/>
            <w:webHidden/>
          </w:rPr>
          <w:fldChar w:fldCharType="separate"/>
        </w:r>
        <w:r w:rsidR="009C7E57" w:rsidRPr="00394A5B">
          <w:rPr>
            <w:noProof/>
            <w:webHidden/>
          </w:rPr>
          <w:t>12</w:t>
        </w:r>
        <w:r w:rsidR="001634AA" w:rsidRPr="00394A5B">
          <w:rPr>
            <w:noProof/>
            <w:webHidden/>
          </w:rPr>
          <w:fldChar w:fldCharType="end"/>
        </w:r>
      </w:hyperlink>
    </w:p>
    <w:p w14:paraId="7D2BC3B8" w14:textId="3D81A296" w:rsidR="001634AA" w:rsidRPr="00394A5B" w:rsidRDefault="00DA5905">
      <w:pPr>
        <w:pStyle w:val="TOC2"/>
        <w:tabs>
          <w:tab w:val="left" w:pos="1540"/>
          <w:tab w:val="right" w:leader="dot" w:pos="973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8999031" w:history="1">
        <w:r w:rsidR="001634AA" w:rsidRPr="00394A5B">
          <w:rPr>
            <w:rStyle w:val="Hyperlink"/>
            <w:noProof/>
            <w:color w:val="auto"/>
          </w:rPr>
          <w:t xml:space="preserve">Annex 2: Indicators and Values used in </w:t>
        </w:r>
        <w:r w:rsidR="00685827">
          <w:rPr>
            <w:rStyle w:val="Hyperlink"/>
            <w:noProof/>
            <w:color w:val="auto"/>
          </w:rPr>
          <w:t>the </w:t>
        </w:r>
        <w:r w:rsidR="001634AA" w:rsidRPr="00394A5B">
          <w:rPr>
            <w:rStyle w:val="Hyperlink"/>
            <w:noProof/>
            <w:color w:val="auto"/>
          </w:rPr>
          <w:t>Calculation of Councils’ Standard Spending Assessments</w:t>
        </w:r>
        <w:r w:rsidR="001634AA" w:rsidRPr="00394A5B">
          <w:rPr>
            <w:noProof/>
            <w:webHidden/>
          </w:rPr>
          <w:tab/>
        </w:r>
        <w:r w:rsidR="001634AA" w:rsidRPr="00394A5B">
          <w:rPr>
            <w:noProof/>
            <w:webHidden/>
          </w:rPr>
          <w:fldChar w:fldCharType="begin"/>
        </w:r>
        <w:r w:rsidR="001634AA" w:rsidRPr="00394A5B">
          <w:rPr>
            <w:noProof/>
            <w:webHidden/>
          </w:rPr>
          <w:instrText xml:space="preserve"> PAGEREF _Toc58999031 \h </w:instrText>
        </w:r>
        <w:r w:rsidR="001634AA" w:rsidRPr="00394A5B">
          <w:rPr>
            <w:noProof/>
            <w:webHidden/>
          </w:rPr>
        </w:r>
        <w:r w:rsidR="001634AA" w:rsidRPr="00394A5B">
          <w:rPr>
            <w:noProof/>
            <w:webHidden/>
          </w:rPr>
          <w:fldChar w:fldCharType="separate"/>
        </w:r>
        <w:r w:rsidR="009C7E57" w:rsidRPr="00394A5B">
          <w:rPr>
            <w:noProof/>
            <w:webHidden/>
          </w:rPr>
          <w:t>13</w:t>
        </w:r>
        <w:r w:rsidR="001634AA" w:rsidRPr="00394A5B">
          <w:rPr>
            <w:noProof/>
            <w:webHidden/>
          </w:rPr>
          <w:fldChar w:fldCharType="end"/>
        </w:r>
      </w:hyperlink>
    </w:p>
    <w:p w14:paraId="130057FE" w14:textId="38A19982" w:rsidR="001634AA" w:rsidRPr="00394A5B" w:rsidRDefault="00DA5905">
      <w:pPr>
        <w:pStyle w:val="TOC2"/>
        <w:tabs>
          <w:tab w:val="right" w:leader="dot" w:pos="973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8999032" w:history="1">
        <w:r w:rsidR="001634AA" w:rsidRPr="00394A5B">
          <w:rPr>
            <w:rStyle w:val="Hyperlink"/>
            <w:noProof/>
            <w:color w:val="auto"/>
          </w:rPr>
          <w:t>Annex 3: Glossary and Explanatory Notes</w:t>
        </w:r>
        <w:r w:rsidR="001634AA" w:rsidRPr="00394A5B">
          <w:rPr>
            <w:noProof/>
            <w:webHidden/>
          </w:rPr>
          <w:tab/>
        </w:r>
        <w:r w:rsidR="001634AA" w:rsidRPr="00394A5B">
          <w:rPr>
            <w:noProof/>
            <w:webHidden/>
          </w:rPr>
          <w:fldChar w:fldCharType="begin"/>
        </w:r>
        <w:r w:rsidR="001634AA" w:rsidRPr="00394A5B">
          <w:rPr>
            <w:noProof/>
            <w:webHidden/>
          </w:rPr>
          <w:instrText xml:space="preserve"> PAGEREF _Toc58999032 \h </w:instrText>
        </w:r>
        <w:r w:rsidR="001634AA" w:rsidRPr="00394A5B">
          <w:rPr>
            <w:noProof/>
            <w:webHidden/>
          </w:rPr>
        </w:r>
        <w:r w:rsidR="001634AA" w:rsidRPr="00394A5B">
          <w:rPr>
            <w:noProof/>
            <w:webHidden/>
          </w:rPr>
          <w:fldChar w:fldCharType="separate"/>
        </w:r>
        <w:r w:rsidR="009C7E57" w:rsidRPr="00394A5B">
          <w:rPr>
            <w:noProof/>
            <w:webHidden/>
          </w:rPr>
          <w:t>27</w:t>
        </w:r>
        <w:r w:rsidR="001634AA" w:rsidRPr="00394A5B">
          <w:rPr>
            <w:noProof/>
            <w:webHidden/>
          </w:rPr>
          <w:fldChar w:fldCharType="end"/>
        </w:r>
      </w:hyperlink>
    </w:p>
    <w:p w14:paraId="0F3C5F5A" w14:textId="1187530A" w:rsidR="001634AA" w:rsidRPr="00394A5B" w:rsidRDefault="00DA5905">
      <w:pPr>
        <w:pStyle w:val="TOC2"/>
        <w:tabs>
          <w:tab w:val="right" w:leader="dot" w:pos="973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8999033" w:history="1">
        <w:r w:rsidR="001634AA" w:rsidRPr="00394A5B">
          <w:rPr>
            <w:rStyle w:val="Hyperlink"/>
            <w:noProof/>
            <w:color w:val="auto"/>
          </w:rPr>
          <w:t xml:space="preserve">Annex 4: Statutory Basis for </w:t>
        </w:r>
        <w:r w:rsidR="00685827">
          <w:rPr>
            <w:rStyle w:val="Hyperlink"/>
            <w:noProof/>
            <w:color w:val="auto"/>
          </w:rPr>
          <w:t>the </w:t>
        </w:r>
        <w:r w:rsidR="001634AA" w:rsidRPr="00394A5B">
          <w:rPr>
            <w:rStyle w:val="Hyperlink"/>
            <w:noProof/>
            <w:color w:val="auto"/>
          </w:rPr>
          <w:t>Report</w:t>
        </w:r>
        <w:r w:rsidR="001634AA" w:rsidRPr="00394A5B">
          <w:rPr>
            <w:noProof/>
            <w:webHidden/>
          </w:rPr>
          <w:tab/>
        </w:r>
        <w:r w:rsidR="001634AA" w:rsidRPr="00394A5B">
          <w:rPr>
            <w:noProof/>
            <w:webHidden/>
          </w:rPr>
          <w:fldChar w:fldCharType="begin"/>
        </w:r>
        <w:r w:rsidR="001634AA" w:rsidRPr="00394A5B">
          <w:rPr>
            <w:noProof/>
            <w:webHidden/>
          </w:rPr>
          <w:instrText xml:space="preserve"> PAGEREF _Toc58999033 \h </w:instrText>
        </w:r>
        <w:r w:rsidR="001634AA" w:rsidRPr="00394A5B">
          <w:rPr>
            <w:noProof/>
            <w:webHidden/>
          </w:rPr>
        </w:r>
        <w:r w:rsidR="001634AA" w:rsidRPr="00394A5B">
          <w:rPr>
            <w:noProof/>
            <w:webHidden/>
          </w:rPr>
          <w:fldChar w:fldCharType="separate"/>
        </w:r>
        <w:r w:rsidR="009C7E57" w:rsidRPr="00394A5B">
          <w:rPr>
            <w:noProof/>
            <w:webHidden/>
          </w:rPr>
          <w:t>29</w:t>
        </w:r>
        <w:r w:rsidR="001634AA" w:rsidRPr="00394A5B">
          <w:rPr>
            <w:noProof/>
            <w:webHidden/>
          </w:rPr>
          <w:fldChar w:fldCharType="end"/>
        </w:r>
      </w:hyperlink>
    </w:p>
    <w:p w14:paraId="1F990730" w14:textId="6CE2B886" w:rsidR="00564843" w:rsidRPr="00394A5B" w:rsidRDefault="00B472B0" w:rsidP="003D4E26">
      <w:pPr>
        <w:rPr>
          <w:rFonts w:cs="Arial"/>
          <w:b/>
          <w:u w:val="single"/>
        </w:rPr>
      </w:pPr>
      <w:r w:rsidRPr="00394A5B">
        <w:rPr>
          <w:rFonts w:cs="Arial"/>
          <w:b/>
          <w:u w:val="single"/>
        </w:rPr>
        <w:fldChar w:fldCharType="end"/>
      </w:r>
    </w:p>
    <w:p w14:paraId="4CB5717C" w14:textId="77777777" w:rsidR="00664DC6" w:rsidRPr="00394A5B" w:rsidRDefault="00F558E1" w:rsidP="001677BE">
      <w:pPr>
        <w:pStyle w:val="Heading1"/>
      </w:pPr>
      <w:r w:rsidRPr="00394A5B">
        <w:br w:type="page"/>
      </w:r>
      <w:bookmarkStart w:id="1" w:name="_Toc434935714"/>
      <w:bookmarkStart w:id="2" w:name="_Toc434935968"/>
      <w:bookmarkStart w:id="3" w:name="_Toc435431397"/>
      <w:bookmarkStart w:id="4" w:name="_Toc58999022"/>
      <w:bookmarkStart w:id="5" w:name="Section1"/>
      <w:r w:rsidR="00664DC6" w:rsidRPr="00394A5B">
        <w:t xml:space="preserve">SECTION </w:t>
      </w:r>
      <w:r w:rsidR="000A3190" w:rsidRPr="00394A5B">
        <w:t xml:space="preserve">ONE: PURPOSE OF REPORT AND MAIN </w:t>
      </w:r>
      <w:r w:rsidR="00F739B5" w:rsidRPr="00394A5B">
        <w:t>P</w:t>
      </w:r>
      <w:r w:rsidR="00664DC6" w:rsidRPr="00394A5B">
        <w:t>ROPOSALS</w:t>
      </w:r>
      <w:bookmarkEnd w:id="1"/>
      <w:bookmarkEnd w:id="2"/>
      <w:bookmarkEnd w:id="3"/>
      <w:bookmarkEnd w:id="4"/>
      <w:bookmarkEnd w:id="5"/>
    </w:p>
    <w:p w14:paraId="67CF92F6" w14:textId="7863870A" w:rsidR="00664DC6" w:rsidRPr="00394A5B" w:rsidRDefault="00F9177B" w:rsidP="001677BE">
      <w:pPr>
        <w:pStyle w:val="Heading2"/>
        <w:spacing w:after="240"/>
      </w:pPr>
      <w:bookmarkStart w:id="6" w:name="_Toc434935715"/>
      <w:bookmarkStart w:id="7" w:name="_Toc434935969"/>
      <w:bookmarkStart w:id="8" w:name="_Toc435431398"/>
      <w:bookmarkStart w:id="9" w:name="_Toc58999023"/>
      <w:r>
        <w:t>Chapter </w:t>
      </w:r>
      <w:r w:rsidR="004249AD" w:rsidRPr="00394A5B">
        <w:t>1:</w:t>
      </w:r>
      <w:r w:rsidR="00A60AFE" w:rsidRPr="00394A5B">
        <w:t xml:space="preserve"> </w:t>
      </w:r>
      <w:r w:rsidR="00664DC6" w:rsidRPr="00394A5B">
        <w:t>Purpose of report</w:t>
      </w:r>
      <w:bookmarkEnd w:id="6"/>
      <w:bookmarkEnd w:id="7"/>
      <w:bookmarkEnd w:id="8"/>
      <w:bookmarkEnd w:id="9"/>
    </w:p>
    <w:p w14:paraId="2145DD4E" w14:textId="38C94476" w:rsidR="00664DC6" w:rsidRPr="00394A5B" w:rsidRDefault="00664DC6" w:rsidP="00B60688">
      <w:pPr>
        <w:pStyle w:val="NumberingCh1"/>
      </w:pPr>
      <w:r w:rsidRPr="00394A5B">
        <w:t xml:space="preserve">This report is made in accordance with </w:t>
      </w:r>
      <w:r w:rsidR="00685827">
        <w:t>the </w:t>
      </w:r>
      <w:r w:rsidRPr="00394A5B">
        <w:t xml:space="preserve">requirements of </w:t>
      </w:r>
      <w:r w:rsidR="00685827">
        <w:t>the </w:t>
      </w:r>
      <w:r w:rsidRPr="00394A5B">
        <w:t>Local Government Finance Act 1988 (</w:t>
      </w:r>
      <w:r w:rsidR="00685827">
        <w:t>the </w:t>
      </w:r>
      <w:r w:rsidRPr="00394A5B">
        <w:t>1988 Act)</w:t>
      </w:r>
      <w:r w:rsidR="00885552" w:rsidRPr="00394A5B">
        <w:t xml:space="preserve">.  </w:t>
      </w:r>
      <w:r w:rsidRPr="00394A5B">
        <w:t xml:space="preserve">It sets out how much revenue support grant (RSG) </w:t>
      </w:r>
      <w:r w:rsidR="00685827">
        <w:t>the </w:t>
      </w:r>
      <w:r w:rsidR="00642F6B" w:rsidRPr="00394A5B">
        <w:t xml:space="preserve">Welsh </w:t>
      </w:r>
      <w:r w:rsidR="00FF7FD1" w:rsidRPr="00394A5B">
        <w:t xml:space="preserve">Ministers </w:t>
      </w:r>
      <w:r w:rsidRPr="00394A5B">
        <w:t>propose to distribute to county and county borough councils (</w:t>
      </w:r>
      <w:r w:rsidR="00CB2EF6" w:rsidRPr="00394A5B">
        <w:t>C</w:t>
      </w:r>
      <w:r w:rsidRPr="00394A5B">
        <w:t>ouncils) in Wales in</w:t>
      </w:r>
      <w:r w:rsidR="001E7BD2" w:rsidRPr="00394A5B">
        <w:t xml:space="preserve"> </w:t>
      </w:r>
      <w:r w:rsidR="00FB1493" w:rsidRPr="00394A5B">
        <w:t>202</w:t>
      </w:r>
      <w:r w:rsidR="00225CE6" w:rsidRPr="00394A5B">
        <w:t>2</w:t>
      </w:r>
      <w:r w:rsidR="002D4AF0" w:rsidRPr="00394A5B">
        <w:t>-2</w:t>
      </w:r>
      <w:r w:rsidR="00225CE6" w:rsidRPr="00394A5B">
        <w:t>3</w:t>
      </w:r>
      <w:r w:rsidR="00885552" w:rsidRPr="00394A5B">
        <w:t xml:space="preserve">.  </w:t>
      </w:r>
      <w:r w:rsidR="00394A5B">
        <w:t>The </w:t>
      </w:r>
      <w:r w:rsidRPr="00394A5B">
        <w:t xml:space="preserve">report also sets out how Non-Domestic Rates (NDR) </w:t>
      </w:r>
      <w:r w:rsidR="00B93213" w:rsidRPr="00394A5B">
        <w:t xml:space="preserve">will be distributed to </w:t>
      </w:r>
      <w:r w:rsidR="00CB2EF6" w:rsidRPr="00394A5B">
        <w:t>C</w:t>
      </w:r>
      <w:r w:rsidR="00B93213" w:rsidRPr="00394A5B">
        <w:t>ouncils</w:t>
      </w:r>
      <w:r w:rsidRPr="00394A5B">
        <w:t xml:space="preserve"> and states </w:t>
      </w:r>
      <w:r w:rsidR="00685827">
        <w:t>the </w:t>
      </w:r>
      <w:r w:rsidRPr="00394A5B">
        <w:t xml:space="preserve">amount of RSG </w:t>
      </w:r>
      <w:r w:rsidR="00685827">
        <w:t>the </w:t>
      </w:r>
      <w:r w:rsidR="00FF7FD1" w:rsidRPr="00394A5B">
        <w:t xml:space="preserve">Welsh Ministers propose </w:t>
      </w:r>
      <w:r w:rsidRPr="00394A5B">
        <w:t>to pay to specified bodies providing services to local government.</w:t>
      </w:r>
    </w:p>
    <w:p w14:paraId="2DED7D7D" w14:textId="0F18B296" w:rsidR="00664DC6" w:rsidRPr="00394A5B" w:rsidRDefault="00664DC6" w:rsidP="00B60688">
      <w:pPr>
        <w:pStyle w:val="NumberingCh1"/>
        <w:rPr>
          <w:rFonts w:cs="Arial"/>
        </w:rPr>
      </w:pPr>
      <w:r w:rsidRPr="00394A5B">
        <w:rPr>
          <w:rFonts w:cs="Arial"/>
        </w:rPr>
        <w:t xml:space="preserve">This report specifically relates to receiving authorities (other than </w:t>
      </w:r>
      <w:r w:rsidR="00820D64" w:rsidRPr="00394A5B">
        <w:rPr>
          <w:rFonts w:cs="Arial"/>
        </w:rPr>
        <w:t>P</w:t>
      </w:r>
      <w:r w:rsidRPr="00394A5B">
        <w:rPr>
          <w:rFonts w:cs="Arial"/>
        </w:rPr>
        <w:t xml:space="preserve">olice </w:t>
      </w:r>
      <w:r w:rsidR="00EF33E6" w:rsidRPr="00394A5B">
        <w:rPr>
          <w:rFonts w:cs="Arial"/>
        </w:rPr>
        <w:t xml:space="preserve">and </w:t>
      </w:r>
      <w:r w:rsidR="00820D64" w:rsidRPr="00394A5B">
        <w:rPr>
          <w:rFonts w:cs="Arial"/>
        </w:rPr>
        <w:t>C</w:t>
      </w:r>
      <w:r w:rsidR="00EF33E6" w:rsidRPr="00394A5B">
        <w:rPr>
          <w:rFonts w:cs="Arial"/>
        </w:rPr>
        <w:t xml:space="preserve">rime </w:t>
      </w:r>
      <w:r w:rsidR="00820D64" w:rsidRPr="00394A5B">
        <w:rPr>
          <w:rFonts w:cs="Arial"/>
        </w:rPr>
        <w:t>C</w:t>
      </w:r>
      <w:r w:rsidR="00EF33E6" w:rsidRPr="00394A5B">
        <w:rPr>
          <w:rFonts w:cs="Arial"/>
        </w:rPr>
        <w:t>ommissioners</w:t>
      </w:r>
      <w:r w:rsidRPr="00394A5B">
        <w:rPr>
          <w:rFonts w:cs="Arial"/>
        </w:rPr>
        <w:t>), and specified bodies</w:t>
      </w:r>
      <w:r w:rsidR="00885552" w:rsidRPr="00394A5B">
        <w:rPr>
          <w:rFonts w:cs="Arial"/>
        </w:rPr>
        <w:t xml:space="preserve">.  </w:t>
      </w:r>
      <w:r w:rsidR="00394A5B">
        <w:rPr>
          <w:rFonts w:cs="Arial"/>
        </w:rPr>
        <w:t>The </w:t>
      </w:r>
      <w:r w:rsidRPr="00394A5B">
        <w:rPr>
          <w:rFonts w:cs="Arial"/>
        </w:rPr>
        <w:t xml:space="preserve">Local Government Act 2003 </w:t>
      </w:r>
      <w:r w:rsidR="00A15A45" w:rsidRPr="00394A5B">
        <w:rPr>
          <w:rFonts w:cs="Arial"/>
        </w:rPr>
        <w:t>(</w:t>
      </w:r>
      <w:r w:rsidR="00685827">
        <w:rPr>
          <w:rFonts w:cs="Arial"/>
        </w:rPr>
        <w:t>the </w:t>
      </w:r>
      <w:r w:rsidR="00A15A45" w:rsidRPr="00394A5B">
        <w:rPr>
          <w:rFonts w:cs="Arial"/>
        </w:rPr>
        <w:t xml:space="preserve">2003 Act) </w:t>
      </w:r>
      <w:r w:rsidRPr="00394A5B">
        <w:rPr>
          <w:rFonts w:cs="Arial"/>
        </w:rPr>
        <w:t xml:space="preserve">amended </w:t>
      </w:r>
      <w:r w:rsidR="00685827">
        <w:rPr>
          <w:rFonts w:cs="Arial"/>
        </w:rPr>
        <w:t>the </w:t>
      </w:r>
      <w:r w:rsidRPr="00394A5B">
        <w:rPr>
          <w:rFonts w:cs="Arial"/>
        </w:rPr>
        <w:t xml:space="preserve">1988 Act to allow a separate Local Government Finance Report to be produced for </w:t>
      </w:r>
      <w:r w:rsidR="00BB349B" w:rsidRPr="00394A5B">
        <w:rPr>
          <w:rFonts w:cs="Arial"/>
        </w:rPr>
        <w:t>Police and Crime Commissioners</w:t>
      </w:r>
      <w:r w:rsidR="00835BF2" w:rsidRPr="00394A5B">
        <w:rPr>
          <w:rFonts w:cs="Arial"/>
        </w:rPr>
        <w:t xml:space="preserve"> in Wales</w:t>
      </w:r>
      <w:r w:rsidR="00885552" w:rsidRPr="00394A5B">
        <w:rPr>
          <w:rFonts w:cs="Arial"/>
        </w:rPr>
        <w:t xml:space="preserve">.  </w:t>
      </w:r>
      <w:r w:rsidR="00394A5B">
        <w:rPr>
          <w:rFonts w:cs="Arial"/>
        </w:rPr>
        <w:t>The </w:t>
      </w:r>
      <w:r w:rsidR="00B93213" w:rsidRPr="00394A5B">
        <w:rPr>
          <w:rFonts w:cs="Arial"/>
        </w:rPr>
        <w:t>198</w:t>
      </w:r>
      <w:r w:rsidR="00EF33E6" w:rsidRPr="00394A5B">
        <w:rPr>
          <w:rFonts w:cs="Arial"/>
        </w:rPr>
        <w:t xml:space="preserve">8 Act </w:t>
      </w:r>
      <w:r w:rsidR="00BB349B" w:rsidRPr="00394A5B">
        <w:rPr>
          <w:rFonts w:cs="Arial"/>
        </w:rPr>
        <w:t>has been</w:t>
      </w:r>
      <w:r w:rsidR="00EF33E6" w:rsidRPr="00394A5B">
        <w:rPr>
          <w:rFonts w:cs="Arial"/>
        </w:rPr>
        <w:t xml:space="preserve"> amended to make reference to </w:t>
      </w:r>
      <w:r w:rsidR="00BB349B" w:rsidRPr="00394A5B">
        <w:rPr>
          <w:rFonts w:cs="Arial"/>
        </w:rPr>
        <w:t>P</w:t>
      </w:r>
      <w:r w:rsidR="00EF33E6" w:rsidRPr="00394A5B">
        <w:rPr>
          <w:rFonts w:cs="Arial"/>
        </w:rPr>
        <w:t xml:space="preserve">olice and </w:t>
      </w:r>
      <w:r w:rsidR="00BB349B" w:rsidRPr="00394A5B">
        <w:rPr>
          <w:rFonts w:cs="Arial"/>
        </w:rPr>
        <w:t>C</w:t>
      </w:r>
      <w:r w:rsidR="00EF33E6" w:rsidRPr="00394A5B">
        <w:rPr>
          <w:rFonts w:cs="Arial"/>
        </w:rPr>
        <w:t xml:space="preserve">rime </w:t>
      </w:r>
      <w:r w:rsidR="00BB349B" w:rsidRPr="00394A5B">
        <w:rPr>
          <w:rFonts w:cs="Arial"/>
        </w:rPr>
        <w:t>C</w:t>
      </w:r>
      <w:r w:rsidR="00EF33E6" w:rsidRPr="00394A5B">
        <w:rPr>
          <w:rFonts w:cs="Arial"/>
        </w:rPr>
        <w:t xml:space="preserve">ommissioners </w:t>
      </w:r>
      <w:r w:rsidR="00BB349B" w:rsidRPr="00394A5B">
        <w:rPr>
          <w:rFonts w:cs="Arial"/>
        </w:rPr>
        <w:t xml:space="preserve">following </w:t>
      </w:r>
      <w:r w:rsidR="00685827">
        <w:rPr>
          <w:rFonts w:cs="Arial"/>
        </w:rPr>
        <w:t>the </w:t>
      </w:r>
      <w:r w:rsidR="00BB349B" w:rsidRPr="00394A5B">
        <w:rPr>
          <w:rFonts w:cs="Arial"/>
        </w:rPr>
        <w:t>commencement of section</w:t>
      </w:r>
      <w:r w:rsidR="00A60AFE" w:rsidRPr="00394A5B">
        <w:rPr>
          <w:rFonts w:cs="Arial"/>
        </w:rPr>
        <w:t> </w:t>
      </w:r>
      <w:r w:rsidR="00BB349B" w:rsidRPr="00394A5B">
        <w:rPr>
          <w:rFonts w:cs="Arial"/>
        </w:rPr>
        <w:t xml:space="preserve">1 of </w:t>
      </w:r>
      <w:r w:rsidR="00685827">
        <w:rPr>
          <w:rFonts w:cs="Arial"/>
        </w:rPr>
        <w:t>the </w:t>
      </w:r>
      <w:r w:rsidR="00EF33E6" w:rsidRPr="00394A5B">
        <w:rPr>
          <w:rFonts w:cs="Arial"/>
        </w:rPr>
        <w:t>Police Reform and Social Responsibility Act 2011</w:t>
      </w:r>
      <w:r w:rsidR="00BB349B" w:rsidRPr="00394A5B">
        <w:rPr>
          <w:rFonts w:cs="Arial"/>
        </w:rPr>
        <w:t>.</w:t>
      </w:r>
    </w:p>
    <w:p w14:paraId="49BED957" w14:textId="0A5EE42F" w:rsidR="00664DC6" w:rsidRPr="00394A5B" w:rsidRDefault="00664DC6" w:rsidP="00B60688">
      <w:pPr>
        <w:pStyle w:val="NumberingCh1"/>
        <w:rPr>
          <w:rFonts w:cs="Arial"/>
        </w:rPr>
      </w:pPr>
      <w:r w:rsidRPr="00394A5B">
        <w:rPr>
          <w:rFonts w:cs="Arial"/>
        </w:rPr>
        <w:t xml:space="preserve">Before making determinations about </w:t>
      </w:r>
      <w:r w:rsidR="00685827">
        <w:rPr>
          <w:rFonts w:cs="Arial"/>
        </w:rPr>
        <w:t>the </w:t>
      </w:r>
      <w:r w:rsidRPr="00394A5B">
        <w:rPr>
          <w:rFonts w:cs="Arial"/>
        </w:rPr>
        <w:t xml:space="preserve">overall amount of RSG and </w:t>
      </w:r>
      <w:r w:rsidR="00685827">
        <w:rPr>
          <w:rFonts w:cs="Arial"/>
        </w:rPr>
        <w:t>the </w:t>
      </w:r>
      <w:r w:rsidRPr="00394A5B">
        <w:rPr>
          <w:rFonts w:cs="Arial"/>
        </w:rPr>
        <w:t xml:space="preserve">respective shares of RSG and NDR to be </w:t>
      </w:r>
      <w:r w:rsidRPr="00394A5B">
        <w:rPr>
          <w:rFonts w:cs="Arial"/>
          <w:szCs w:val="24"/>
        </w:rPr>
        <w:t xml:space="preserve">distributed amongst receiving authorities and specified bodies, </w:t>
      </w:r>
      <w:r w:rsidR="00685827">
        <w:rPr>
          <w:rFonts w:cs="Arial"/>
          <w:szCs w:val="24"/>
        </w:rPr>
        <w:t>the </w:t>
      </w:r>
      <w:r w:rsidR="00642F6B" w:rsidRPr="00394A5B">
        <w:rPr>
          <w:rFonts w:cs="Arial"/>
          <w:szCs w:val="24"/>
        </w:rPr>
        <w:t xml:space="preserve">Welsh </w:t>
      </w:r>
      <w:r w:rsidR="00FF7FD1" w:rsidRPr="00394A5B">
        <w:rPr>
          <w:rFonts w:cs="Arial"/>
          <w:szCs w:val="24"/>
        </w:rPr>
        <w:t>Ministers</w:t>
      </w:r>
      <w:r w:rsidRPr="00394A5B">
        <w:rPr>
          <w:rFonts w:cs="Arial"/>
          <w:szCs w:val="24"/>
        </w:rPr>
        <w:t xml:space="preserve"> </w:t>
      </w:r>
      <w:r w:rsidR="00225CE6" w:rsidRPr="00394A5B">
        <w:rPr>
          <w:rFonts w:cs="Arial"/>
          <w:szCs w:val="24"/>
        </w:rPr>
        <w:t xml:space="preserve">are </w:t>
      </w:r>
      <w:r w:rsidRPr="00394A5B">
        <w:rPr>
          <w:rFonts w:cs="Arial"/>
          <w:szCs w:val="24"/>
        </w:rPr>
        <w:t>consult</w:t>
      </w:r>
      <w:r w:rsidR="0071138A" w:rsidRPr="00394A5B">
        <w:rPr>
          <w:rFonts w:cs="Arial"/>
          <w:szCs w:val="24"/>
        </w:rPr>
        <w:t>ed</w:t>
      </w:r>
      <w:r w:rsidRPr="00394A5B">
        <w:rPr>
          <w:rFonts w:cs="Arial"/>
          <w:szCs w:val="24"/>
        </w:rPr>
        <w:t xml:space="preserve"> such representatives of local government as appear </w:t>
      </w:r>
      <w:r w:rsidR="002E6C7F" w:rsidRPr="00394A5B">
        <w:rPr>
          <w:rFonts w:cs="Arial"/>
          <w:szCs w:val="24"/>
        </w:rPr>
        <w:t xml:space="preserve">to them to be </w:t>
      </w:r>
      <w:r w:rsidRPr="00394A5B">
        <w:rPr>
          <w:rFonts w:cs="Arial"/>
          <w:szCs w:val="24"/>
        </w:rPr>
        <w:t>appropriate from</w:t>
      </w:r>
      <w:r w:rsidR="00152F36" w:rsidRPr="00394A5B">
        <w:rPr>
          <w:rFonts w:cs="Arial"/>
          <w:szCs w:val="24"/>
        </w:rPr>
        <w:t xml:space="preserve"> </w:t>
      </w:r>
      <w:r w:rsidR="003529D2" w:rsidRPr="00394A5B">
        <w:rPr>
          <w:rFonts w:cs="Arial"/>
          <w:szCs w:val="24"/>
        </w:rPr>
        <w:t>2</w:t>
      </w:r>
      <w:r w:rsidR="00225CE6" w:rsidRPr="00394A5B">
        <w:rPr>
          <w:rFonts w:cs="Arial"/>
          <w:szCs w:val="24"/>
        </w:rPr>
        <w:t>1</w:t>
      </w:r>
      <w:r w:rsidR="002D4AF0" w:rsidRPr="00394A5B">
        <w:rPr>
          <w:rFonts w:cs="Arial"/>
          <w:szCs w:val="24"/>
        </w:rPr>
        <w:t xml:space="preserve"> </w:t>
      </w:r>
      <w:r w:rsidR="00FB1493" w:rsidRPr="00394A5B">
        <w:rPr>
          <w:rFonts w:cs="Arial"/>
          <w:szCs w:val="24"/>
        </w:rPr>
        <w:t>December</w:t>
      </w:r>
      <w:r w:rsidR="001E7BD2" w:rsidRPr="00394A5B">
        <w:rPr>
          <w:rFonts w:cs="Arial"/>
          <w:szCs w:val="24"/>
        </w:rPr>
        <w:t xml:space="preserve"> 20</w:t>
      </w:r>
      <w:r w:rsidR="003529D2" w:rsidRPr="00394A5B">
        <w:rPr>
          <w:rFonts w:cs="Arial"/>
          <w:szCs w:val="24"/>
        </w:rPr>
        <w:t>2</w:t>
      </w:r>
      <w:r w:rsidR="00225CE6" w:rsidRPr="00394A5B">
        <w:rPr>
          <w:rFonts w:cs="Arial"/>
          <w:szCs w:val="24"/>
        </w:rPr>
        <w:t>1</w:t>
      </w:r>
      <w:r w:rsidR="005B3094" w:rsidRPr="00394A5B">
        <w:rPr>
          <w:rFonts w:cs="Arial"/>
          <w:szCs w:val="24"/>
        </w:rPr>
        <w:t xml:space="preserve"> </w:t>
      </w:r>
      <w:r w:rsidR="00F36DAC" w:rsidRPr="00394A5B">
        <w:rPr>
          <w:rFonts w:cs="Arial"/>
          <w:szCs w:val="24"/>
        </w:rPr>
        <w:t>to</w:t>
      </w:r>
      <w:r w:rsidR="00820D64" w:rsidRPr="00394A5B">
        <w:rPr>
          <w:rFonts w:cs="Arial"/>
          <w:szCs w:val="24"/>
        </w:rPr>
        <w:t xml:space="preserve"> </w:t>
      </w:r>
      <w:r w:rsidR="00225CE6" w:rsidRPr="00394A5B">
        <w:rPr>
          <w:rFonts w:cs="Arial"/>
          <w:szCs w:val="24"/>
        </w:rPr>
        <w:t>8</w:t>
      </w:r>
      <w:r w:rsidR="00820D64" w:rsidRPr="00394A5B">
        <w:rPr>
          <w:rFonts w:cs="Arial"/>
          <w:szCs w:val="24"/>
        </w:rPr>
        <w:t xml:space="preserve"> </w:t>
      </w:r>
      <w:r w:rsidR="00FB1493" w:rsidRPr="00394A5B">
        <w:rPr>
          <w:rFonts w:cs="Arial"/>
        </w:rPr>
        <w:t>February</w:t>
      </w:r>
      <w:r w:rsidR="005B3094" w:rsidRPr="00394A5B">
        <w:rPr>
          <w:rFonts w:cs="Arial"/>
        </w:rPr>
        <w:t xml:space="preserve"> </w:t>
      </w:r>
      <w:r w:rsidR="00FB1493" w:rsidRPr="00394A5B">
        <w:rPr>
          <w:rFonts w:cs="Arial"/>
        </w:rPr>
        <w:t>202</w:t>
      </w:r>
      <w:r w:rsidR="00A2199A" w:rsidRPr="00394A5B">
        <w:rPr>
          <w:rFonts w:cs="Arial"/>
        </w:rPr>
        <w:t>2</w:t>
      </w:r>
      <w:r w:rsidRPr="00394A5B">
        <w:rPr>
          <w:rFonts w:cs="Arial"/>
        </w:rPr>
        <w:t xml:space="preserve"> as required by </w:t>
      </w:r>
      <w:r w:rsidR="00685827">
        <w:rPr>
          <w:rFonts w:cs="Arial"/>
        </w:rPr>
        <w:t>the </w:t>
      </w:r>
      <w:r w:rsidRPr="00394A5B">
        <w:rPr>
          <w:rFonts w:cs="Arial"/>
        </w:rPr>
        <w:t>1988 Act.</w:t>
      </w:r>
    </w:p>
    <w:p w14:paraId="39A4C0FD" w14:textId="5143183E" w:rsidR="00664DC6" w:rsidRPr="00394A5B" w:rsidRDefault="00730354" w:rsidP="000C6E4B">
      <w:pPr>
        <w:pStyle w:val="Heading2"/>
        <w:spacing w:after="240"/>
      </w:pPr>
      <w:r w:rsidRPr="00394A5B">
        <w:br w:type="page"/>
      </w:r>
      <w:bookmarkStart w:id="10" w:name="_Toc434935716"/>
      <w:bookmarkStart w:id="11" w:name="_Toc434935970"/>
      <w:bookmarkStart w:id="12" w:name="_Toc435431399"/>
      <w:bookmarkStart w:id="13" w:name="_Toc58999024"/>
      <w:r w:rsidR="00F9177B">
        <w:t>Chapter </w:t>
      </w:r>
      <w:r w:rsidR="00664DC6" w:rsidRPr="00394A5B">
        <w:t>2</w:t>
      </w:r>
      <w:r w:rsidR="00A60AFE" w:rsidRPr="00394A5B">
        <w:t xml:space="preserve">: </w:t>
      </w:r>
      <w:r w:rsidR="00664DC6" w:rsidRPr="00394A5B">
        <w:t>Main Proposals</w:t>
      </w:r>
      <w:bookmarkEnd w:id="10"/>
      <w:bookmarkEnd w:id="11"/>
      <w:bookmarkEnd w:id="12"/>
      <w:bookmarkEnd w:id="13"/>
    </w:p>
    <w:p w14:paraId="008C7059" w14:textId="77777777" w:rsidR="00664DC6" w:rsidRPr="00685827" w:rsidRDefault="00664DC6" w:rsidP="00685827">
      <w:pPr>
        <w:pStyle w:val="Heading3"/>
      </w:pPr>
      <w:r w:rsidRPr="00685827">
        <w:t>Revenue Support Grant</w:t>
      </w:r>
    </w:p>
    <w:p w14:paraId="26BEAFEB" w14:textId="2C926608" w:rsidR="00664DC6" w:rsidRPr="00B60688" w:rsidRDefault="00394A5B" w:rsidP="00F9177B">
      <w:pPr>
        <w:pStyle w:val="NumberingCh2"/>
      </w:pPr>
      <w:r w:rsidRPr="00B60688">
        <w:t>The </w:t>
      </w:r>
      <w:r w:rsidR="00664DC6" w:rsidRPr="00B60688">
        <w:t xml:space="preserve">amount of RSG for </w:t>
      </w:r>
      <w:r w:rsidR="00CB2EF6" w:rsidRPr="00B60688">
        <w:t>C</w:t>
      </w:r>
      <w:r w:rsidR="00664DC6" w:rsidRPr="00B60688">
        <w:t xml:space="preserve">ouncils in </w:t>
      </w:r>
      <w:r w:rsidR="00FB1493" w:rsidRPr="00B60688">
        <w:t>202</w:t>
      </w:r>
      <w:r w:rsidR="00225CE6" w:rsidRPr="00B60688">
        <w:t>2</w:t>
      </w:r>
      <w:r w:rsidR="00387FE7" w:rsidRPr="00B60688">
        <w:t>-</w:t>
      </w:r>
      <w:r w:rsidR="002D4AF0" w:rsidRPr="00B60688">
        <w:t>2</w:t>
      </w:r>
      <w:r w:rsidR="00225CE6" w:rsidRPr="00B60688">
        <w:t>3</w:t>
      </w:r>
      <w:r w:rsidR="002D4AF0" w:rsidRPr="00B60688">
        <w:t xml:space="preserve"> </w:t>
      </w:r>
      <w:r w:rsidR="00664DC6" w:rsidRPr="00B60688">
        <w:t>is £</w:t>
      </w:r>
      <w:r w:rsidR="00787490" w:rsidRPr="00B60688">
        <w:t>3</w:t>
      </w:r>
      <w:r w:rsidR="004601D5" w:rsidRPr="00B60688">
        <w:t>,</w:t>
      </w:r>
      <w:r w:rsidR="00787490" w:rsidRPr="00B60688">
        <w:t>973</w:t>
      </w:r>
      <w:r w:rsidR="00751A62" w:rsidRPr="00B60688">
        <w:t>,</w:t>
      </w:r>
      <w:r w:rsidR="0071138A" w:rsidRPr="00B60688">
        <w:t>737</w:t>
      </w:r>
      <w:r w:rsidR="00751A62" w:rsidRPr="00B60688">
        <w:t>,</w:t>
      </w:r>
      <w:r w:rsidR="0071138A" w:rsidRPr="00B60688">
        <w:t>811</w:t>
      </w:r>
      <w:r w:rsidR="00885552" w:rsidRPr="00B60688">
        <w:t xml:space="preserve">.  </w:t>
      </w:r>
      <w:r w:rsidR="00664DC6" w:rsidRPr="00B60688">
        <w:t>In addition, £</w:t>
      </w:r>
      <w:bookmarkStart w:id="14" w:name="_Hlk96092206"/>
      <w:r w:rsidR="0071138A" w:rsidRPr="00B60688">
        <w:t>4</w:t>
      </w:r>
      <w:r w:rsidR="00CC6ED2" w:rsidRPr="00B60688">
        <w:t>,</w:t>
      </w:r>
      <w:r w:rsidR="00787490" w:rsidRPr="00B60688">
        <w:t>69</w:t>
      </w:r>
      <w:r w:rsidR="0071138A" w:rsidRPr="00B60688">
        <w:t>7</w:t>
      </w:r>
      <w:r w:rsidR="00751A62" w:rsidRPr="00B60688">
        <w:t>,</w:t>
      </w:r>
      <w:r w:rsidR="0071138A" w:rsidRPr="00B60688">
        <w:t>189</w:t>
      </w:r>
      <w:r w:rsidR="00FC11DF" w:rsidRPr="00B60688">
        <w:t xml:space="preserve"> </w:t>
      </w:r>
      <w:bookmarkEnd w:id="14"/>
      <w:r w:rsidR="00DC3191" w:rsidRPr="00B60688">
        <w:t>i</w:t>
      </w:r>
      <w:r w:rsidR="00664DC6" w:rsidRPr="00B60688">
        <w:t xml:space="preserve">s to be paid to </w:t>
      </w:r>
      <w:r w:rsidR="00FB71D3" w:rsidRPr="00B60688">
        <w:t xml:space="preserve">a </w:t>
      </w:r>
      <w:r w:rsidR="00664DC6" w:rsidRPr="00B60688">
        <w:t>specified bod</w:t>
      </w:r>
      <w:r w:rsidR="00FB71D3" w:rsidRPr="00B60688">
        <w:t>y</w:t>
      </w:r>
      <w:r w:rsidR="00664DC6" w:rsidRPr="00B60688">
        <w:t>.</w:t>
      </w:r>
    </w:p>
    <w:p w14:paraId="60E4B555" w14:textId="32A35856" w:rsidR="00664DC6" w:rsidRPr="00394A5B" w:rsidRDefault="00664DC6" w:rsidP="00F9177B">
      <w:pPr>
        <w:pStyle w:val="NumberingCh2"/>
      </w:pPr>
      <w:r w:rsidRPr="00394A5B">
        <w:t xml:space="preserve">Under </w:t>
      </w:r>
      <w:r w:rsidR="00685827">
        <w:t>the </w:t>
      </w:r>
      <w:r w:rsidRPr="00394A5B">
        <w:t xml:space="preserve">system of distribution determined in this report, </w:t>
      </w:r>
      <w:r w:rsidR="00685827">
        <w:t>the </w:t>
      </w:r>
      <w:r w:rsidRPr="00394A5B">
        <w:t xml:space="preserve">amount of RSG to be paid to an individual </w:t>
      </w:r>
      <w:r w:rsidR="00CB2EF6" w:rsidRPr="00394A5B">
        <w:t>C</w:t>
      </w:r>
      <w:r w:rsidRPr="00394A5B">
        <w:t xml:space="preserve">ouncil is determined by its standard spending assessment (SSA), taking account of </w:t>
      </w:r>
      <w:r w:rsidR="00685827">
        <w:t>the </w:t>
      </w:r>
      <w:r w:rsidRPr="00394A5B">
        <w:t xml:space="preserve">amount of NDR it will receive and also assuming </w:t>
      </w:r>
      <w:r w:rsidR="00685827">
        <w:t>the </w:t>
      </w:r>
      <w:r w:rsidRPr="00394A5B">
        <w:t>amount of council tax it is able to raise</w:t>
      </w:r>
      <w:r w:rsidR="00885552" w:rsidRPr="00394A5B">
        <w:t xml:space="preserve">.  </w:t>
      </w:r>
      <w:r w:rsidR="00F9177B">
        <w:t>Section </w:t>
      </w:r>
      <w:r w:rsidRPr="00394A5B">
        <w:t>2</w:t>
      </w:r>
      <w:r w:rsidR="006174C9" w:rsidRPr="00394A5B">
        <w:t xml:space="preserve">, </w:t>
      </w:r>
      <w:r w:rsidR="00F9177B">
        <w:t>Chapter </w:t>
      </w:r>
      <w:r w:rsidR="006174C9" w:rsidRPr="00394A5B">
        <w:t>3</w:t>
      </w:r>
      <w:r w:rsidRPr="00394A5B">
        <w:t xml:space="preserve"> of this report de</w:t>
      </w:r>
      <w:r w:rsidR="004657D1" w:rsidRPr="00394A5B">
        <w:t>scribes how this process works.</w:t>
      </w:r>
    </w:p>
    <w:p w14:paraId="3C7A0B03" w14:textId="77777777" w:rsidR="00664DC6" w:rsidRPr="00685827" w:rsidRDefault="00664DC6" w:rsidP="00685827">
      <w:pPr>
        <w:pStyle w:val="Heading3"/>
      </w:pPr>
      <w:r w:rsidRPr="00685827">
        <w:t xml:space="preserve">Distributable </w:t>
      </w:r>
      <w:r w:rsidR="00A60AFE" w:rsidRPr="00685827">
        <w:t>Amount</w:t>
      </w:r>
      <w:r w:rsidRPr="00685827">
        <w:t>: N</w:t>
      </w:r>
      <w:r w:rsidR="00730354" w:rsidRPr="00685827">
        <w:t xml:space="preserve">on-Domestic </w:t>
      </w:r>
      <w:r w:rsidRPr="00685827">
        <w:t>Rates</w:t>
      </w:r>
    </w:p>
    <w:p w14:paraId="2FA6E485" w14:textId="5C37BD31" w:rsidR="00664DC6" w:rsidRPr="00394A5B" w:rsidRDefault="00394A5B" w:rsidP="00F9177B">
      <w:pPr>
        <w:pStyle w:val="NumberingCh2"/>
      </w:pPr>
      <w:r>
        <w:t>The </w:t>
      </w:r>
      <w:r w:rsidR="00664DC6" w:rsidRPr="00394A5B">
        <w:t xml:space="preserve">distributable amount of NDR available for </w:t>
      </w:r>
      <w:r w:rsidR="00FB1493" w:rsidRPr="00394A5B">
        <w:t>202</w:t>
      </w:r>
      <w:r w:rsidR="00225CE6" w:rsidRPr="00394A5B">
        <w:t>2</w:t>
      </w:r>
      <w:r w:rsidR="00387FE7" w:rsidRPr="00394A5B">
        <w:t>-</w:t>
      </w:r>
      <w:r w:rsidR="002D4AF0" w:rsidRPr="00394A5B">
        <w:t>2</w:t>
      </w:r>
      <w:r w:rsidR="00225CE6" w:rsidRPr="00394A5B">
        <w:t>3</w:t>
      </w:r>
      <w:r w:rsidR="00387FE7" w:rsidRPr="00394A5B">
        <w:t xml:space="preserve"> </w:t>
      </w:r>
      <w:r w:rsidR="00664DC6" w:rsidRPr="00394A5B">
        <w:t>is £</w:t>
      </w:r>
      <w:r w:rsidR="002A3F03" w:rsidRPr="00394A5B">
        <w:t>1,</w:t>
      </w:r>
      <w:r w:rsidR="00FB1493" w:rsidRPr="00394A5B">
        <w:t>1</w:t>
      </w:r>
      <w:r w:rsidR="00225CE6" w:rsidRPr="00394A5B">
        <w:t>35</w:t>
      </w:r>
      <w:r w:rsidR="002D4AF0" w:rsidRPr="00394A5B">
        <w:t xml:space="preserve"> </w:t>
      </w:r>
      <w:r w:rsidR="00255F57" w:rsidRPr="00394A5B">
        <w:t>million</w:t>
      </w:r>
      <w:r w:rsidR="009255A9" w:rsidRPr="00394A5B">
        <w:t>,</w:t>
      </w:r>
      <w:r w:rsidR="00664DC6" w:rsidRPr="00394A5B">
        <w:t xml:space="preserve"> defined as F in </w:t>
      </w:r>
      <w:r w:rsidR="00F9177B">
        <w:t>Section </w:t>
      </w:r>
      <w:r w:rsidR="00664DC6" w:rsidRPr="00394A5B">
        <w:t xml:space="preserve">2, </w:t>
      </w:r>
      <w:r w:rsidR="00F9177B">
        <w:t>Chapter </w:t>
      </w:r>
      <w:r w:rsidR="00664DC6" w:rsidRPr="00394A5B">
        <w:t>4</w:t>
      </w:r>
      <w:r w:rsidR="00885552" w:rsidRPr="00394A5B">
        <w:t xml:space="preserve">.  </w:t>
      </w:r>
      <w:r w:rsidR="00664DC6" w:rsidRPr="00394A5B">
        <w:t xml:space="preserve">Therefore, </w:t>
      </w:r>
      <w:r w:rsidR="00685827">
        <w:t>the </w:t>
      </w:r>
      <w:r w:rsidR="00664DC6" w:rsidRPr="00394A5B">
        <w:t xml:space="preserve">figure for </w:t>
      </w:r>
      <w:r w:rsidR="00CB2EF6" w:rsidRPr="00394A5B">
        <w:t>C</w:t>
      </w:r>
      <w:r w:rsidR="00664DC6" w:rsidRPr="00394A5B">
        <w:t>ouncils is £</w:t>
      </w:r>
      <w:r w:rsidR="00FB1493" w:rsidRPr="00394A5B">
        <w:t>1,</w:t>
      </w:r>
      <w:r w:rsidR="00A37848" w:rsidRPr="00394A5B">
        <w:t>133</w:t>
      </w:r>
      <w:r w:rsidR="002D4AF0" w:rsidRPr="00394A5B">
        <w:t>.</w:t>
      </w:r>
      <w:r w:rsidR="00A37848" w:rsidRPr="00394A5B">
        <w:t>865</w:t>
      </w:r>
      <w:r w:rsidR="00255F57" w:rsidRPr="00394A5B">
        <w:t xml:space="preserve"> million</w:t>
      </w:r>
      <w:r w:rsidR="00AB06CF" w:rsidRPr="00394A5B">
        <w:t xml:space="preserve"> (which is </w:t>
      </w:r>
      <w:r w:rsidR="00685827">
        <w:t>the </w:t>
      </w:r>
      <w:r w:rsidR="009255A9" w:rsidRPr="00394A5B">
        <w:t xml:space="preserve">total </w:t>
      </w:r>
      <w:r w:rsidR="00AB06CF" w:rsidRPr="00394A5B">
        <w:t>NDR less</w:t>
      </w:r>
      <w:r w:rsidR="002439C7" w:rsidRPr="00394A5B">
        <w:t xml:space="preserve"> </w:t>
      </w:r>
      <w:r w:rsidR="00225CE6" w:rsidRPr="00394A5B">
        <w:t>0.1</w:t>
      </w:r>
      <w:r w:rsidR="002439C7" w:rsidRPr="00394A5B">
        <w:t xml:space="preserve"> </w:t>
      </w:r>
      <w:r w:rsidR="00EB40BE" w:rsidRPr="00394A5B">
        <w:t xml:space="preserve">per cent </w:t>
      </w:r>
      <w:r w:rsidR="00AB06CF" w:rsidRPr="00394A5B">
        <w:t>allocated to Police</w:t>
      </w:r>
      <w:r w:rsidR="00E62B1E" w:rsidRPr="00394A5B">
        <w:t xml:space="preserve"> and Crime Commissioners</w:t>
      </w:r>
      <w:r w:rsidR="00AB06CF" w:rsidRPr="00394A5B">
        <w:t>)</w:t>
      </w:r>
      <w:r w:rsidR="00885552" w:rsidRPr="00394A5B">
        <w:t xml:space="preserve">.  </w:t>
      </w:r>
      <w:r>
        <w:t>The </w:t>
      </w:r>
      <w:r w:rsidR="00664DC6" w:rsidRPr="00394A5B">
        <w:t xml:space="preserve">basis upon which NDR is distributed to </w:t>
      </w:r>
      <w:r w:rsidR="00CB2EF6" w:rsidRPr="00394A5B">
        <w:t>C</w:t>
      </w:r>
      <w:r w:rsidR="00664DC6" w:rsidRPr="00394A5B">
        <w:t>ouncils is des</w:t>
      </w:r>
      <w:r w:rsidR="004657D1" w:rsidRPr="00394A5B">
        <w:t xml:space="preserve">cribed in </w:t>
      </w:r>
      <w:r w:rsidR="00F9177B">
        <w:t>Section </w:t>
      </w:r>
      <w:r w:rsidR="004657D1" w:rsidRPr="00394A5B">
        <w:t xml:space="preserve">2, </w:t>
      </w:r>
      <w:r w:rsidR="00F9177B">
        <w:t>Chapter </w:t>
      </w:r>
      <w:r w:rsidR="004657D1" w:rsidRPr="00394A5B">
        <w:t>4.</w:t>
      </w:r>
    </w:p>
    <w:p w14:paraId="309983BB" w14:textId="77777777" w:rsidR="00664DC6" w:rsidRPr="00394A5B" w:rsidRDefault="00664DC6" w:rsidP="003D4E26">
      <w:pPr>
        <w:rPr>
          <w:rFonts w:cs="Arial"/>
        </w:rPr>
      </w:pPr>
    </w:p>
    <w:p w14:paraId="0C5F665E" w14:textId="77777777" w:rsidR="00664DC6" w:rsidRPr="00394A5B" w:rsidRDefault="00664DC6" w:rsidP="001677BE">
      <w:pPr>
        <w:pStyle w:val="Heading1"/>
      </w:pPr>
      <w:r w:rsidRPr="00394A5B">
        <w:rPr>
          <w:sz w:val="24"/>
        </w:rPr>
        <w:br w:type="page"/>
      </w:r>
      <w:bookmarkStart w:id="15" w:name="_Toc434935717"/>
      <w:bookmarkStart w:id="16" w:name="_Toc434935971"/>
      <w:bookmarkStart w:id="17" w:name="_Toc435431400"/>
      <w:bookmarkStart w:id="18" w:name="_Toc58999025"/>
      <w:bookmarkStart w:id="19" w:name="Section2"/>
      <w:r w:rsidRPr="00394A5B">
        <w:t>SECTION TWO: COUNCILS</w:t>
      </w:r>
      <w:bookmarkEnd w:id="15"/>
      <w:bookmarkEnd w:id="16"/>
      <w:bookmarkEnd w:id="17"/>
      <w:bookmarkEnd w:id="18"/>
      <w:bookmarkEnd w:id="19"/>
    </w:p>
    <w:p w14:paraId="42E6D7ED" w14:textId="069CA2BF" w:rsidR="00664DC6" w:rsidRPr="00394A5B" w:rsidRDefault="00F9177B" w:rsidP="00624B79">
      <w:pPr>
        <w:pStyle w:val="Heading2"/>
        <w:spacing w:after="240"/>
      </w:pPr>
      <w:bookmarkStart w:id="20" w:name="_Toc434935718"/>
      <w:bookmarkStart w:id="21" w:name="_Toc434935972"/>
      <w:bookmarkStart w:id="22" w:name="_Toc435431401"/>
      <w:bookmarkStart w:id="23" w:name="_Toc58999026"/>
      <w:r>
        <w:t>Chapter </w:t>
      </w:r>
      <w:r w:rsidR="00664DC6" w:rsidRPr="00394A5B">
        <w:t>3</w:t>
      </w:r>
      <w:r w:rsidR="00A60AFE" w:rsidRPr="00394A5B">
        <w:t xml:space="preserve">: </w:t>
      </w:r>
      <w:r w:rsidR="00664DC6" w:rsidRPr="00394A5B">
        <w:t xml:space="preserve">Calculation of </w:t>
      </w:r>
      <w:r w:rsidR="00685827">
        <w:t>the </w:t>
      </w:r>
      <w:r w:rsidR="00664DC6" w:rsidRPr="00394A5B">
        <w:t xml:space="preserve">amount of Revenue Support Grant for each </w:t>
      </w:r>
      <w:r w:rsidR="00CB2EF6" w:rsidRPr="00394A5B">
        <w:t>C</w:t>
      </w:r>
      <w:r w:rsidR="00664DC6" w:rsidRPr="00394A5B">
        <w:t>ouncil</w:t>
      </w:r>
      <w:bookmarkEnd w:id="20"/>
      <w:bookmarkEnd w:id="21"/>
      <w:bookmarkEnd w:id="22"/>
      <w:bookmarkEnd w:id="23"/>
    </w:p>
    <w:p w14:paraId="2CF66648" w14:textId="2A4BF7B7" w:rsidR="00664DC6" w:rsidRPr="00394A5B" w:rsidRDefault="00664DC6" w:rsidP="00F9177B">
      <w:pPr>
        <w:pStyle w:val="NumberingCh3"/>
      </w:pPr>
      <w:r w:rsidRPr="00394A5B">
        <w:t xml:space="preserve">This chapter specifies </w:t>
      </w:r>
      <w:r w:rsidR="00685827">
        <w:t>the </w:t>
      </w:r>
      <w:r w:rsidRPr="00394A5B">
        <w:t xml:space="preserve">basis on which </w:t>
      </w:r>
      <w:r w:rsidR="00685827">
        <w:t>the </w:t>
      </w:r>
      <w:r w:rsidR="00642F6B" w:rsidRPr="00394A5B">
        <w:t xml:space="preserve">Welsh </w:t>
      </w:r>
      <w:r w:rsidR="00FF7FD1" w:rsidRPr="00394A5B">
        <w:t>Ministers</w:t>
      </w:r>
      <w:r w:rsidRPr="00394A5B">
        <w:t xml:space="preserve"> will distribute </w:t>
      </w:r>
      <w:r w:rsidR="00685827">
        <w:t>the </w:t>
      </w:r>
      <w:r w:rsidRPr="00394A5B">
        <w:t xml:space="preserve">amount of RSG to be paid to </w:t>
      </w:r>
      <w:r w:rsidR="00CB2EF6" w:rsidRPr="00394A5B">
        <w:t>C</w:t>
      </w:r>
      <w:r w:rsidRPr="00394A5B">
        <w:t xml:space="preserve">ouncils in </w:t>
      </w:r>
      <w:r w:rsidR="00FB1493" w:rsidRPr="00394A5B">
        <w:t>202</w:t>
      </w:r>
      <w:r w:rsidR="00225CE6" w:rsidRPr="00394A5B">
        <w:t>2</w:t>
      </w:r>
      <w:r w:rsidR="00387FE7" w:rsidRPr="00394A5B">
        <w:t>-</w:t>
      </w:r>
      <w:r w:rsidR="002D4AF0" w:rsidRPr="00394A5B">
        <w:t>2</w:t>
      </w:r>
      <w:r w:rsidR="00225CE6" w:rsidRPr="00394A5B">
        <w:t>3</w:t>
      </w:r>
      <w:r w:rsidR="00E721B5" w:rsidRPr="00394A5B">
        <w:t>.</w:t>
      </w:r>
    </w:p>
    <w:p w14:paraId="4335B289" w14:textId="05A029AA" w:rsidR="00664DC6" w:rsidRPr="00394A5B" w:rsidRDefault="00394A5B" w:rsidP="00F9177B">
      <w:pPr>
        <w:pStyle w:val="NumberingCh3"/>
      </w:pPr>
      <w:r>
        <w:t>The </w:t>
      </w:r>
      <w:r w:rsidR="00664DC6" w:rsidRPr="00394A5B">
        <w:t xml:space="preserve">method by which SSAs for </w:t>
      </w:r>
      <w:r w:rsidR="00CB2EF6" w:rsidRPr="00394A5B">
        <w:t>C</w:t>
      </w:r>
      <w:r w:rsidR="00664DC6" w:rsidRPr="00394A5B">
        <w:t>ouncils have been c</w:t>
      </w:r>
      <w:r w:rsidR="00103116" w:rsidRPr="00394A5B">
        <w:t xml:space="preserve">alculated is set out in </w:t>
      </w:r>
      <w:r w:rsidR="00F9177B">
        <w:t>Chapter </w:t>
      </w:r>
      <w:r w:rsidR="00664DC6" w:rsidRPr="00394A5B">
        <w:t>5</w:t>
      </w:r>
      <w:r w:rsidR="00885552" w:rsidRPr="00394A5B">
        <w:t xml:space="preserve">.  </w:t>
      </w:r>
      <w:r>
        <w:t>The </w:t>
      </w:r>
      <w:r w:rsidR="00664DC6" w:rsidRPr="00394A5B">
        <w:t xml:space="preserve">calculation makes use of information reflecting </w:t>
      </w:r>
      <w:r w:rsidR="00685827">
        <w:t>the </w:t>
      </w:r>
      <w:r w:rsidR="00664DC6" w:rsidRPr="00394A5B">
        <w:t>demographic, physical, economic and social characteristics of each area.</w:t>
      </w:r>
    </w:p>
    <w:p w14:paraId="23C41FC2" w14:textId="4302833C" w:rsidR="00664DC6" w:rsidRPr="00394A5B" w:rsidRDefault="00664DC6" w:rsidP="00F9177B">
      <w:pPr>
        <w:pStyle w:val="NumberingCh3"/>
      </w:pPr>
      <w:r w:rsidRPr="00394A5B">
        <w:t xml:space="preserve">In order to calculate </w:t>
      </w:r>
      <w:r w:rsidR="00685827">
        <w:t>the </w:t>
      </w:r>
      <w:r w:rsidRPr="00394A5B">
        <w:t xml:space="preserve">amount of grant to be paid to each </w:t>
      </w:r>
      <w:r w:rsidR="00CB2EF6" w:rsidRPr="00394A5B">
        <w:t>C</w:t>
      </w:r>
      <w:r w:rsidRPr="00394A5B">
        <w:t xml:space="preserve">ouncil, </w:t>
      </w:r>
      <w:r w:rsidR="00642F6B" w:rsidRPr="00394A5B">
        <w:t xml:space="preserve">Welsh </w:t>
      </w:r>
      <w:r w:rsidR="00FF7FD1" w:rsidRPr="00394A5B">
        <w:t>Ministers</w:t>
      </w:r>
      <w:r w:rsidR="00642F6B" w:rsidRPr="00394A5B">
        <w:t xml:space="preserve"> </w:t>
      </w:r>
      <w:r w:rsidRPr="00394A5B">
        <w:t xml:space="preserve">will first calculate </w:t>
      </w:r>
      <w:r w:rsidR="00685827">
        <w:t>the </w:t>
      </w:r>
      <w:r w:rsidRPr="00394A5B">
        <w:t xml:space="preserve">SSA for </w:t>
      </w:r>
      <w:r w:rsidR="005C2E01" w:rsidRPr="00394A5B">
        <w:t>every</w:t>
      </w:r>
      <w:r w:rsidRPr="00394A5B">
        <w:t xml:space="preserve"> </w:t>
      </w:r>
      <w:r w:rsidR="00CB2EF6" w:rsidRPr="00394A5B">
        <w:t>C</w:t>
      </w:r>
      <w:r w:rsidR="006174C9" w:rsidRPr="00394A5B">
        <w:t>ouncil</w:t>
      </w:r>
      <w:r w:rsidR="00885552" w:rsidRPr="00394A5B">
        <w:t xml:space="preserve">.  </w:t>
      </w:r>
      <w:r w:rsidRPr="00394A5B">
        <w:t>For this purpose, it is assumed that there is no use of, or contribution to, financial reserves.</w:t>
      </w:r>
    </w:p>
    <w:p w14:paraId="2FAEB0F7" w14:textId="62471090" w:rsidR="00664DC6" w:rsidRPr="00394A5B" w:rsidRDefault="00394A5B" w:rsidP="00F9177B">
      <w:pPr>
        <w:ind w:left="567"/>
      </w:pPr>
      <w:r>
        <w:t>The </w:t>
      </w:r>
      <w:r w:rsidR="00664DC6" w:rsidRPr="00394A5B">
        <w:t xml:space="preserve">RSG entitlement for each </w:t>
      </w:r>
      <w:r w:rsidR="00CB2EF6" w:rsidRPr="00394A5B">
        <w:t>C</w:t>
      </w:r>
      <w:r w:rsidR="00664DC6" w:rsidRPr="00394A5B">
        <w:t xml:space="preserve">ouncil is calculated by applying </w:t>
      </w:r>
      <w:r w:rsidR="00685827">
        <w:t>the </w:t>
      </w:r>
      <w:r w:rsidR="00664DC6" w:rsidRPr="00394A5B">
        <w:t>formula:</w:t>
      </w:r>
    </w:p>
    <w:p w14:paraId="1AC4701C" w14:textId="352DCB83" w:rsidR="00664DC6" w:rsidRPr="00394A5B" w:rsidRDefault="00C91394" w:rsidP="00F9177B">
      <w:pPr>
        <w:ind w:left="567"/>
      </w:pPr>
      <w:r w:rsidRPr="00394A5B">
        <w:t>(</w:t>
      </w:r>
      <w:r w:rsidR="00664DC6" w:rsidRPr="00394A5B">
        <w:t>A – B – (C x D)</w:t>
      </w:r>
      <w:r w:rsidRPr="00394A5B">
        <w:t>)</w:t>
      </w:r>
    </w:p>
    <w:p w14:paraId="10E1A890" w14:textId="0F8DE33E" w:rsidR="00664DC6" w:rsidRPr="00394A5B" w:rsidRDefault="00AE0AC7" w:rsidP="00F9177B">
      <w:pPr>
        <w:ind w:left="567"/>
      </w:pPr>
      <w:r w:rsidRPr="00394A5B">
        <w:t>W</w:t>
      </w:r>
      <w:r w:rsidR="00664DC6" w:rsidRPr="00394A5B">
        <w:t>here:</w:t>
      </w:r>
    </w:p>
    <w:p w14:paraId="75DAA3CC" w14:textId="0DED27EF" w:rsidR="00F261FE" w:rsidRPr="00394A5B" w:rsidRDefault="00F261FE" w:rsidP="00257F83">
      <w:pPr>
        <w:ind w:left="1134" w:hanging="567"/>
      </w:pPr>
      <w:r w:rsidRPr="00394A5B">
        <w:t>A</w:t>
      </w:r>
      <w:r w:rsidR="00C2222F" w:rsidRPr="00394A5B">
        <w:tab/>
      </w:r>
      <w:r w:rsidRPr="00394A5B">
        <w:t xml:space="preserve">is </w:t>
      </w:r>
      <w:r w:rsidR="00685827">
        <w:t>the </w:t>
      </w:r>
      <w:r w:rsidRPr="00394A5B">
        <w:t xml:space="preserve">SSA for </w:t>
      </w:r>
      <w:r w:rsidR="00685827">
        <w:t>the </w:t>
      </w:r>
      <w:r w:rsidRPr="00394A5B">
        <w:t xml:space="preserve">Council as calculated in accordance with </w:t>
      </w:r>
      <w:r w:rsidR="00F9177B">
        <w:t>Chapter </w:t>
      </w:r>
      <w:r w:rsidRPr="00394A5B">
        <w:t>5</w:t>
      </w:r>
    </w:p>
    <w:p w14:paraId="7E842F59" w14:textId="7C4A4003" w:rsidR="00F261FE" w:rsidRPr="00394A5B" w:rsidRDefault="00F261FE" w:rsidP="00257F83">
      <w:pPr>
        <w:ind w:left="1134" w:hanging="567"/>
      </w:pPr>
      <w:r w:rsidRPr="00394A5B">
        <w:t>B</w:t>
      </w:r>
      <w:r w:rsidR="00C2222F" w:rsidRPr="00394A5B">
        <w:tab/>
      </w:r>
      <w:r w:rsidRPr="00394A5B">
        <w:t xml:space="preserve">is </w:t>
      </w:r>
      <w:r w:rsidR="00685827">
        <w:t>the </w:t>
      </w:r>
      <w:r w:rsidRPr="00394A5B">
        <w:t xml:space="preserve">Council’s share of </w:t>
      </w:r>
      <w:r w:rsidR="00685827">
        <w:t>the </w:t>
      </w:r>
      <w:r w:rsidRPr="00394A5B">
        <w:t xml:space="preserve">distributable amount from </w:t>
      </w:r>
      <w:r w:rsidR="00685827">
        <w:t>the </w:t>
      </w:r>
      <w:r w:rsidRPr="00394A5B">
        <w:t xml:space="preserve">non-domestic rating account as calculated in accordance with </w:t>
      </w:r>
      <w:r w:rsidR="00F9177B">
        <w:t>Chapter </w:t>
      </w:r>
      <w:r w:rsidRPr="00394A5B">
        <w:t>4</w:t>
      </w:r>
    </w:p>
    <w:p w14:paraId="1D775C55" w14:textId="2D376E83" w:rsidR="00C2222F" w:rsidRPr="00394A5B" w:rsidRDefault="00C2222F" w:rsidP="00257F83">
      <w:pPr>
        <w:ind w:left="1134" w:hanging="567"/>
      </w:pPr>
      <w:r w:rsidRPr="00394A5B">
        <w:t>C</w:t>
      </w:r>
      <w:r w:rsidRPr="00394A5B">
        <w:tab/>
        <w:t xml:space="preserve">is </w:t>
      </w:r>
      <w:r w:rsidR="00685827">
        <w:t>the </w:t>
      </w:r>
      <w:r w:rsidRPr="00394A5B">
        <w:t xml:space="preserve">standard tax element for </w:t>
      </w:r>
      <w:r w:rsidR="00685827">
        <w:t>the </w:t>
      </w:r>
      <w:r w:rsidRPr="00394A5B">
        <w:t xml:space="preserve">Council as specified in </w:t>
      </w:r>
      <w:r w:rsidR="00394A5B">
        <w:t>paragraph </w:t>
      </w:r>
      <w:r w:rsidRPr="00394A5B">
        <w:t>3.4</w:t>
      </w:r>
    </w:p>
    <w:p w14:paraId="3C0C467F" w14:textId="5091B7B5" w:rsidR="00F558E1" w:rsidRPr="00394A5B" w:rsidRDefault="00C2222F" w:rsidP="00257F83">
      <w:pPr>
        <w:ind w:left="1134" w:hanging="567"/>
      </w:pPr>
      <w:r w:rsidRPr="00394A5B">
        <w:t>D</w:t>
      </w:r>
      <w:r w:rsidRPr="00394A5B">
        <w:tab/>
        <w:t xml:space="preserve">is </w:t>
      </w:r>
      <w:r w:rsidR="00685827">
        <w:t>the </w:t>
      </w:r>
      <w:r w:rsidRPr="00394A5B">
        <w:t xml:space="preserve">council tax base for RSG purposes for </w:t>
      </w:r>
      <w:r w:rsidR="00685827">
        <w:t>the </w:t>
      </w:r>
      <w:r w:rsidRPr="00394A5B">
        <w:t xml:space="preserve">Council’s area as specified in </w:t>
      </w:r>
      <w:r w:rsidR="00394A5B">
        <w:t>Table </w:t>
      </w:r>
      <w:r w:rsidRPr="00394A5B">
        <w:t>3.1</w:t>
      </w:r>
    </w:p>
    <w:p w14:paraId="3DF93B71" w14:textId="3F791381" w:rsidR="00664DC6" w:rsidRPr="00685827" w:rsidRDefault="001E1248" w:rsidP="00685827">
      <w:pPr>
        <w:pStyle w:val="Heading3"/>
      </w:pPr>
      <w:r w:rsidRPr="00685827">
        <w:br w:type="page"/>
      </w:r>
      <w:r w:rsidR="00664DC6" w:rsidRPr="00685827">
        <w:t>Standard tax elements for calculating Revenue Support Grant entitlements</w:t>
      </w:r>
    </w:p>
    <w:p w14:paraId="1D6A27A2" w14:textId="5EC20AF9" w:rsidR="00664DC6" w:rsidRPr="00394A5B" w:rsidRDefault="00394A5B" w:rsidP="00BD6245">
      <w:pPr>
        <w:pStyle w:val="NumberingCh3"/>
      </w:pPr>
      <w:r>
        <w:t>The </w:t>
      </w:r>
      <w:r w:rsidR="00664DC6" w:rsidRPr="00394A5B">
        <w:t>appropriate “</w:t>
      </w:r>
      <w:bookmarkStart w:id="24" w:name="OLE_LINK2"/>
      <w:bookmarkStart w:id="25" w:name="OLE_LINK3"/>
      <w:r w:rsidR="00664DC6" w:rsidRPr="00394A5B">
        <w:t>standard tax element</w:t>
      </w:r>
      <w:bookmarkEnd w:id="24"/>
      <w:bookmarkEnd w:id="25"/>
      <w:r w:rsidR="00664DC6" w:rsidRPr="00394A5B">
        <w:t xml:space="preserve">” for </w:t>
      </w:r>
      <w:r w:rsidR="00CB2EF6" w:rsidRPr="00394A5B">
        <w:t>C</w:t>
      </w:r>
      <w:r w:rsidR="00664DC6" w:rsidRPr="00394A5B">
        <w:t>ouncils is</w:t>
      </w:r>
      <w:r w:rsidR="00593439" w:rsidRPr="00394A5B">
        <w:t xml:space="preserve"> </w:t>
      </w:r>
      <w:r w:rsidR="00E96C69" w:rsidRPr="00394A5B">
        <w:t>£</w:t>
      </w:r>
      <w:r w:rsidR="00BF56A4" w:rsidRPr="00394A5B">
        <w:t>1,</w:t>
      </w:r>
      <w:r w:rsidR="00751A62" w:rsidRPr="00394A5B">
        <w:t>4</w:t>
      </w:r>
      <w:r w:rsidR="00A37848" w:rsidRPr="00394A5B">
        <w:t>52</w:t>
      </w:r>
      <w:r w:rsidR="00FB1493" w:rsidRPr="00394A5B">
        <w:t>.</w:t>
      </w:r>
      <w:r w:rsidR="00A37848" w:rsidRPr="00394A5B">
        <w:t>49</w:t>
      </w:r>
      <w:r w:rsidR="00E721B5" w:rsidRPr="00394A5B">
        <w:t>.</w:t>
      </w:r>
    </w:p>
    <w:p w14:paraId="5A26770D" w14:textId="7406DF0A" w:rsidR="00664DC6" w:rsidRPr="00685827" w:rsidRDefault="00664DC6" w:rsidP="00685827">
      <w:pPr>
        <w:pStyle w:val="Heading3"/>
      </w:pPr>
      <w:r w:rsidRPr="00685827">
        <w:t>Council tax base for distributing Revenue Support Grant</w:t>
      </w:r>
    </w:p>
    <w:p w14:paraId="10B21CC5" w14:textId="2DB35A41" w:rsidR="00664DC6" w:rsidRPr="00394A5B" w:rsidRDefault="00664DC6" w:rsidP="00BD6245">
      <w:pPr>
        <w:pStyle w:val="NumberingCh3"/>
      </w:pPr>
      <w:r w:rsidRPr="00394A5B">
        <w:t xml:space="preserve">Each </w:t>
      </w:r>
      <w:r w:rsidR="00CB2EF6" w:rsidRPr="00394A5B">
        <w:t>C</w:t>
      </w:r>
      <w:r w:rsidRPr="00394A5B">
        <w:t xml:space="preserve">ouncil is required to calculate its council tax base in accordance with regulations made under section 33(5) of </w:t>
      </w:r>
      <w:r w:rsidR="00685827">
        <w:t>the </w:t>
      </w:r>
      <w:r w:rsidRPr="00394A5B">
        <w:t xml:space="preserve">Local Government Finance Act 1992 (these are </w:t>
      </w:r>
      <w:r w:rsidR="00685827">
        <w:t>the </w:t>
      </w:r>
      <w:r w:rsidRPr="00394A5B">
        <w:t>Local Authorities (Calculation of Council Tax Base) (Wales) Regulations 1995 (as amended)</w:t>
      </w:r>
      <w:r w:rsidRPr="00394A5B">
        <w:rPr>
          <w:vertAlign w:val="superscript"/>
        </w:rPr>
        <w:footnoteReference w:id="1"/>
      </w:r>
      <w:r w:rsidRPr="00394A5B">
        <w:t>)</w:t>
      </w:r>
      <w:r w:rsidR="00885552" w:rsidRPr="00394A5B">
        <w:t xml:space="preserve">.  </w:t>
      </w:r>
      <w:r w:rsidR="00394A5B">
        <w:t>The </w:t>
      </w:r>
      <w:r w:rsidRPr="00394A5B">
        <w:t xml:space="preserve">calculation of </w:t>
      </w:r>
      <w:r w:rsidR="00685827">
        <w:t>the </w:t>
      </w:r>
      <w:r w:rsidRPr="00394A5B">
        <w:t xml:space="preserve">council tax base for </w:t>
      </w:r>
      <w:r w:rsidR="00685827">
        <w:t>the </w:t>
      </w:r>
      <w:r w:rsidRPr="00394A5B">
        <w:t>purpose of distributing RSG is made having regard to council tax base figures supplied to</w:t>
      </w:r>
      <w:r w:rsidR="00EF33E6" w:rsidRPr="00394A5B">
        <w:t xml:space="preserve"> </w:t>
      </w:r>
      <w:r w:rsidR="00642F6B" w:rsidRPr="00394A5B">
        <w:t xml:space="preserve">Welsh </w:t>
      </w:r>
      <w:r w:rsidR="00FF7FD1" w:rsidRPr="00394A5B">
        <w:t>Ministers</w:t>
      </w:r>
      <w:r w:rsidR="00642F6B" w:rsidRPr="00394A5B">
        <w:t xml:space="preserve"> </w:t>
      </w:r>
      <w:r w:rsidRPr="00394A5B">
        <w:t xml:space="preserve">by </w:t>
      </w:r>
      <w:r w:rsidR="00CB2EF6" w:rsidRPr="00394A5B">
        <w:t>C</w:t>
      </w:r>
      <w:r w:rsidRPr="00394A5B">
        <w:t>ouncils on Form CT1 on or before</w:t>
      </w:r>
      <w:r w:rsidR="002439C7" w:rsidRPr="00394A5B">
        <w:t xml:space="preserve"> </w:t>
      </w:r>
      <w:r w:rsidR="00A37848" w:rsidRPr="00394A5B">
        <w:t>1</w:t>
      </w:r>
      <w:r w:rsidR="008C1FAF" w:rsidRPr="00394A5B">
        <w:t>0</w:t>
      </w:r>
      <w:r w:rsidR="00CD41E0" w:rsidRPr="00394A5B">
        <w:t xml:space="preserve"> </w:t>
      </w:r>
      <w:r w:rsidR="008C1FAF" w:rsidRPr="00394A5B">
        <w:t>December 2</w:t>
      </w:r>
      <w:r w:rsidR="00ED6BAB" w:rsidRPr="00394A5B">
        <w:t>0</w:t>
      </w:r>
      <w:r w:rsidR="00F53766" w:rsidRPr="00394A5B">
        <w:t>2</w:t>
      </w:r>
      <w:r w:rsidR="00225CE6" w:rsidRPr="00394A5B">
        <w:t>1</w:t>
      </w:r>
      <w:r w:rsidR="004657D1" w:rsidRPr="00394A5B">
        <w:t>.</w:t>
      </w:r>
    </w:p>
    <w:p w14:paraId="3D78DBFF" w14:textId="451FA2E8" w:rsidR="00664DC6" w:rsidRPr="00394A5B" w:rsidRDefault="00394A5B" w:rsidP="00BD6245">
      <w:pPr>
        <w:pStyle w:val="NumberingCh3"/>
      </w:pPr>
      <w:r>
        <w:t>The </w:t>
      </w:r>
      <w:r w:rsidR="00664DC6" w:rsidRPr="00394A5B">
        <w:t xml:space="preserve">council tax base figures for </w:t>
      </w:r>
      <w:r w:rsidR="00685827">
        <w:t>the </w:t>
      </w:r>
      <w:r w:rsidR="00664DC6" w:rsidRPr="00394A5B">
        <w:t xml:space="preserve">purpose of distributing RSG are set out in </w:t>
      </w:r>
      <w:r>
        <w:t>Table </w:t>
      </w:r>
      <w:r w:rsidR="00664DC6" w:rsidRPr="00394A5B">
        <w:t>3.1</w:t>
      </w:r>
      <w:r w:rsidR="00885552" w:rsidRPr="00394A5B">
        <w:t xml:space="preserve">.  </w:t>
      </w:r>
      <w:r w:rsidR="00664DC6" w:rsidRPr="00394A5B">
        <w:t xml:space="preserve">In order to ensure consistency across Wales no account is taken of </w:t>
      </w:r>
      <w:r w:rsidR="00CB2EF6" w:rsidRPr="00394A5B">
        <w:t>C</w:t>
      </w:r>
      <w:r w:rsidR="00664DC6" w:rsidRPr="00394A5B">
        <w:t>ouncils’ assumptions about collection rates</w:t>
      </w:r>
      <w:r w:rsidR="00885552" w:rsidRPr="00394A5B">
        <w:t xml:space="preserve">.  </w:t>
      </w:r>
      <w:r w:rsidR="00664DC6" w:rsidRPr="00394A5B">
        <w:t xml:space="preserve">For </w:t>
      </w:r>
      <w:r w:rsidR="00685827">
        <w:t>the </w:t>
      </w:r>
      <w:r w:rsidR="00664DC6" w:rsidRPr="00394A5B">
        <w:t xml:space="preserve">purpose of distributing </w:t>
      </w:r>
      <w:r w:rsidR="00F14080" w:rsidRPr="00394A5B">
        <w:t>RSG</w:t>
      </w:r>
      <w:r w:rsidR="00664DC6" w:rsidRPr="00394A5B">
        <w:t>, collection rates are assumed to be 100 per cent</w:t>
      </w:r>
      <w:r w:rsidR="007C1AE5" w:rsidRPr="00394A5B">
        <w:t xml:space="preserve">. </w:t>
      </w:r>
      <w:r w:rsidR="00A60AFE" w:rsidRPr="00394A5B">
        <w:t xml:space="preserve"> </w:t>
      </w:r>
      <w:r w:rsidR="007C1AE5" w:rsidRPr="00394A5B">
        <w:t xml:space="preserve">Changes to </w:t>
      </w:r>
      <w:r w:rsidR="00685827">
        <w:t>the </w:t>
      </w:r>
      <w:r w:rsidR="007C1AE5" w:rsidRPr="00394A5B">
        <w:t>tax</w:t>
      </w:r>
      <w:r w:rsidR="00A60AFE" w:rsidRPr="00394A5B">
        <w:t>-</w:t>
      </w:r>
      <w:r w:rsidR="007C1AE5" w:rsidRPr="00394A5B">
        <w:t xml:space="preserve">base resulting from </w:t>
      </w:r>
      <w:r w:rsidR="00685827">
        <w:t>the </w:t>
      </w:r>
      <w:r w:rsidR="007C1AE5" w:rsidRPr="00394A5B">
        <w:t xml:space="preserve">introduction of council tax premiums for second and long-term empty homes are also reversed out of </w:t>
      </w:r>
      <w:r w:rsidR="00685827">
        <w:t>the </w:t>
      </w:r>
      <w:r w:rsidR="007C1AE5" w:rsidRPr="00394A5B">
        <w:t>calculations</w:t>
      </w:r>
      <w:r w:rsidR="007B3F03" w:rsidRPr="00394A5B">
        <w:rPr>
          <w:rStyle w:val="FootnoteReference"/>
        </w:rPr>
        <w:footnoteReference w:id="2"/>
      </w:r>
      <w:r w:rsidR="00664DC6" w:rsidRPr="00394A5B">
        <w:t>.</w:t>
      </w:r>
    </w:p>
    <w:p w14:paraId="4CA6ABD7" w14:textId="50A4EB53" w:rsidR="00664DC6" w:rsidRPr="00685827" w:rsidRDefault="005B66E7" w:rsidP="00685827">
      <w:pPr>
        <w:pStyle w:val="Heading3"/>
      </w:pPr>
      <w:r w:rsidRPr="00685827">
        <w:br w:type="page"/>
      </w:r>
      <w:r w:rsidR="00394A5B" w:rsidRPr="00685827">
        <w:t>Table </w:t>
      </w:r>
      <w:r w:rsidR="00664DC6" w:rsidRPr="00685827">
        <w:t>3.1</w:t>
      </w:r>
      <w:r w:rsidR="004B5883" w:rsidRPr="00685827">
        <w:t xml:space="preserve">: </w:t>
      </w:r>
      <w:r w:rsidR="00CD2A56" w:rsidRPr="00685827">
        <w:t>Council tax base</w:t>
      </w:r>
      <w:r w:rsidR="00A60AFE" w:rsidRPr="00685827">
        <w:t xml:space="preserve"> –</w:t>
      </w:r>
      <w:r w:rsidR="00CD2A56" w:rsidRPr="00685827">
        <w:t xml:space="preserve"> N</w:t>
      </w:r>
      <w:r w:rsidR="00664DC6" w:rsidRPr="00685827">
        <w:t xml:space="preserve">umber of </w:t>
      </w:r>
      <w:r w:rsidR="00A60AFE" w:rsidRPr="00685827">
        <w:t xml:space="preserve">Band </w:t>
      </w:r>
      <w:r w:rsidR="00664DC6" w:rsidRPr="00685827">
        <w:t>D equivalent properties</w:t>
      </w:r>
      <w:r w:rsidR="00CD2A56" w:rsidRPr="00685827">
        <w:t xml:space="preserve"> for 20</w:t>
      </w:r>
      <w:r w:rsidR="007B2768" w:rsidRPr="00685827">
        <w:t>2</w:t>
      </w:r>
      <w:r w:rsidR="00225CE6" w:rsidRPr="00685827">
        <w:t>2</w:t>
      </w:r>
      <w:r w:rsidR="00CD2A56" w:rsidRPr="00685827">
        <w:t>-</w:t>
      </w:r>
      <w:r w:rsidR="007B2768" w:rsidRPr="00685827">
        <w:t>2</w:t>
      </w:r>
      <w:r w:rsidR="00225CE6" w:rsidRPr="00685827">
        <w:t>3</w:t>
      </w:r>
      <w:r w:rsidR="00381150" w:rsidRPr="00685827">
        <w:footnoteReference w:id="3"/>
      </w:r>
    </w:p>
    <w:tbl>
      <w:tblPr>
        <w:tblW w:w="9214" w:type="dxa"/>
        <w:tblInd w:w="3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30" w:type="dxa"/>
          <w:right w:w="30" w:type="dxa"/>
        </w:tblCellMar>
        <w:tblLook w:val="0060" w:firstRow="1" w:lastRow="1" w:firstColumn="0" w:lastColumn="0" w:noHBand="0" w:noVBand="0"/>
        <w:tblDescription w:val="Table 3.1: Council tax base – Number of Band D equivalent properties for 2021-22"/>
      </w:tblPr>
      <w:tblGrid>
        <w:gridCol w:w="6349"/>
        <w:gridCol w:w="2865"/>
      </w:tblGrid>
      <w:tr w:rsidR="00394A5B" w:rsidRPr="00BD6245" w14:paraId="4000E0CF" w14:textId="77777777" w:rsidTr="001E4877">
        <w:trPr>
          <w:trHeight w:val="756"/>
          <w:tblHeader/>
        </w:trPr>
        <w:tc>
          <w:tcPr>
            <w:tcW w:w="6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74553" w14:textId="77777777" w:rsidR="00FB6E42" w:rsidRPr="00BD6245" w:rsidRDefault="00BC6FD9" w:rsidP="00BD6245">
            <w:pPr>
              <w:pStyle w:val="TableHeadings"/>
            </w:pPr>
            <w:r w:rsidRPr="00BD6245">
              <w:t>County and county borough councils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6B78AB" w14:textId="77777777" w:rsidR="00FB6E42" w:rsidRPr="00BD6245" w:rsidRDefault="00847793" w:rsidP="00BD6245">
            <w:pPr>
              <w:pStyle w:val="TableHeadings"/>
            </w:pPr>
            <w:r w:rsidRPr="00BD6245">
              <w:t>Number of Band D equivalent properties</w:t>
            </w:r>
          </w:p>
        </w:tc>
      </w:tr>
      <w:tr w:rsidR="00394A5B" w:rsidRPr="00394A5B" w14:paraId="472B605C" w14:textId="77777777" w:rsidTr="001E4877">
        <w:tc>
          <w:tcPr>
            <w:tcW w:w="6349" w:type="dxa"/>
          </w:tcPr>
          <w:p w14:paraId="1D08F059" w14:textId="77777777" w:rsidR="008F6F37" w:rsidRPr="00394A5B" w:rsidRDefault="008F6F37" w:rsidP="00BD6245">
            <w:pPr>
              <w:pStyle w:val="TableRowText"/>
            </w:pPr>
            <w:r w:rsidRPr="00394A5B">
              <w:t>Isle of Anglesey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AF94079" w14:textId="44FA852F" w:rsidR="008F6F37" w:rsidRPr="00BD6245" w:rsidRDefault="008F6F37" w:rsidP="00BD6245">
            <w:pPr>
              <w:pStyle w:val="TableText"/>
            </w:pPr>
            <w:r w:rsidRPr="00BD6245">
              <w:t>31,080</w:t>
            </w:r>
          </w:p>
        </w:tc>
      </w:tr>
      <w:tr w:rsidR="00394A5B" w:rsidRPr="00394A5B" w14:paraId="11A0136E" w14:textId="77777777" w:rsidTr="001E4877">
        <w:tc>
          <w:tcPr>
            <w:tcW w:w="6349" w:type="dxa"/>
          </w:tcPr>
          <w:p w14:paraId="661C93BE" w14:textId="77777777" w:rsidR="008F6F37" w:rsidRPr="00394A5B" w:rsidRDefault="008F6F37" w:rsidP="00BD6245">
            <w:pPr>
              <w:pStyle w:val="TableRowText"/>
            </w:pPr>
            <w:r w:rsidRPr="00394A5B">
              <w:t>Gwynedd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15CD68F" w14:textId="5336091E" w:rsidR="008F6F37" w:rsidRPr="00BD6245" w:rsidRDefault="008F6F37" w:rsidP="00BD6245">
            <w:pPr>
              <w:pStyle w:val="TableText"/>
            </w:pPr>
            <w:r w:rsidRPr="00BD6245">
              <w:t>49,435</w:t>
            </w:r>
          </w:p>
        </w:tc>
      </w:tr>
      <w:tr w:rsidR="00394A5B" w:rsidRPr="00394A5B" w14:paraId="36D89757" w14:textId="77777777" w:rsidTr="001E4877">
        <w:tc>
          <w:tcPr>
            <w:tcW w:w="6349" w:type="dxa"/>
          </w:tcPr>
          <w:p w14:paraId="45161098" w14:textId="77777777" w:rsidR="008F6F37" w:rsidRPr="00394A5B" w:rsidRDefault="008F6F37" w:rsidP="00BD6245">
            <w:pPr>
              <w:pStyle w:val="TableRowText"/>
            </w:pPr>
            <w:r w:rsidRPr="00394A5B">
              <w:t>Conwy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A876272" w14:textId="17624453" w:rsidR="008F6F37" w:rsidRPr="00BD6245" w:rsidRDefault="008F6F37" w:rsidP="00BD6245">
            <w:pPr>
              <w:pStyle w:val="TableText"/>
            </w:pPr>
            <w:r w:rsidRPr="00BD6245">
              <w:t>51,599</w:t>
            </w:r>
          </w:p>
        </w:tc>
      </w:tr>
      <w:tr w:rsidR="00394A5B" w:rsidRPr="00394A5B" w14:paraId="1A8701E2" w14:textId="77777777" w:rsidTr="001E4877">
        <w:tc>
          <w:tcPr>
            <w:tcW w:w="6349" w:type="dxa"/>
          </w:tcPr>
          <w:p w14:paraId="2E32BC0C" w14:textId="77777777" w:rsidR="008F6F37" w:rsidRPr="00394A5B" w:rsidRDefault="008F6F37" w:rsidP="00BD6245">
            <w:pPr>
              <w:pStyle w:val="TableRowText"/>
            </w:pPr>
            <w:r w:rsidRPr="00394A5B">
              <w:t>Denbighshire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B64F139" w14:textId="7EA6C5A3" w:rsidR="008F6F37" w:rsidRPr="00BD6245" w:rsidRDefault="008F6F37" w:rsidP="00BD6245">
            <w:pPr>
              <w:pStyle w:val="TableText"/>
            </w:pPr>
            <w:r w:rsidRPr="00BD6245">
              <w:t>40,789</w:t>
            </w:r>
          </w:p>
        </w:tc>
      </w:tr>
      <w:tr w:rsidR="00394A5B" w:rsidRPr="00394A5B" w14:paraId="2B2C096E" w14:textId="77777777" w:rsidTr="001E4877">
        <w:tc>
          <w:tcPr>
            <w:tcW w:w="6349" w:type="dxa"/>
          </w:tcPr>
          <w:p w14:paraId="485FFD6A" w14:textId="77777777" w:rsidR="008F6F37" w:rsidRPr="00394A5B" w:rsidRDefault="008F6F37" w:rsidP="00BD6245">
            <w:pPr>
              <w:pStyle w:val="TableRowText"/>
            </w:pPr>
            <w:r w:rsidRPr="00394A5B">
              <w:t>Flintshire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5899BD5" w14:textId="18B94A8B" w:rsidR="008F6F37" w:rsidRPr="00BD6245" w:rsidRDefault="008F6F37" w:rsidP="00BD6245">
            <w:pPr>
              <w:pStyle w:val="TableText"/>
            </w:pPr>
            <w:r w:rsidRPr="00BD6245">
              <w:t>65,815</w:t>
            </w:r>
          </w:p>
        </w:tc>
      </w:tr>
      <w:tr w:rsidR="00394A5B" w:rsidRPr="00394A5B" w14:paraId="0D104380" w14:textId="77777777" w:rsidTr="001E4877">
        <w:tc>
          <w:tcPr>
            <w:tcW w:w="6349" w:type="dxa"/>
          </w:tcPr>
          <w:p w14:paraId="53728CA3" w14:textId="77777777" w:rsidR="008F6F37" w:rsidRPr="00394A5B" w:rsidRDefault="008F6F37" w:rsidP="00BD6245">
            <w:pPr>
              <w:pStyle w:val="TableRowText"/>
            </w:pPr>
            <w:r w:rsidRPr="00394A5B">
              <w:t>Wrexham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C8A3496" w14:textId="2A9FB4E9" w:rsidR="008F6F37" w:rsidRPr="00BD6245" w:rsidRDefault="008F6F37" w:rsidP="00BD6245">
            <w:pPr>
              <w:pStyle w:val="TableText"/>
            </w:pPr>
            <w:r w:rsidRPr="00BD6245">
              <w:t>54,698</w:t>
            </w:r>
          </w:p>
        </w:tc>
      </w:tr>
      <w:tr w:rsidR="00394A5B" w:rsidRPr="00394A5B" w14:paraId="18FA6B7A" w14:textId="77777777" w:rsidTr="001E4877">
        <w:tc>
          <w:tcPr>
            <w:tcW w:w="6349" w:type="dxa"/>
          </w:tcPr>
          <w:p w14:paraId="43FA3348" w14:textId="77777777" w:rsidR="008F6F37" w:rsidRPr="00394A5B" w:rsidRDefault="008F6F37" w:rsidP="00BD6245">
            <w:pPr>
              <w:pStyle w:val="TableRowText"/>
            </w:pPr>
            <w:r w:rsidRPr="00394A5B">
              <w:t>Powys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08E2A51" w14:textId="2A2FCDAB" w:rsidR="008F6F37" w:rsidRPr="00BD6245" w:rsidRDefault="008F6F37" w:rsidP="00BD6245">
            <w:pPr>
              <w:pStyle w:val="TableText"/>
            </w:pPr>
            <w:r w:rsidRPr="00BD6245">
              <w:t>63,116</w:t>
            </w:r>
          </w:p>
        </w:tc>
      </w:tr>
      <w:tr w:rsidR="00394A5B" w:rsidRPr="00394A5B" w14:paraId="31B0D974" w14:textId="77777777" w:rsidTr="001E4877">
        <w:tc>
          <w:tcPr>
            <w:tcW w:w="6349" w:type="dxa"/>
          </w:tcPr>
          <w:p w14:paraId="59F9D925" w14:textId="77777777" w:rsidR="008F6F37" w:rsidRPr="00394A5B" w:rsidRDefault="008F6F37" w:rsidP="00BD6245">
            <w:pPr>
              <w:pStyle w:val="TableRowText"/>
            </w:pPr>
            <w:r w:rsidRPr="00394A5B">
              <w:t>Ceredigion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10C58A0" w14:textId="1069878C" w:rsidR="008F6F37" w:rsidRPr="00BD6245" w:rsidRDefault="008F6F37" w:rsidP="00BD6245">
            <w:pPr>
              <w:pStyle w:val="TableText"/>
            </w:pPr>
            <w:r w:rsidRPr="00BD6245">
              <w:t>32,326</w:t>
            </w:r>
          </w:p>
        </w:tc>
      </w:tr>
      <w:tr w:rsidR="00394A5B" w:rsidRPr="00394A5B" w14:paraId="703793EB" w14:textId="77777777" w:rsidTr="001E4877">
        <w:tc>
          <w:tcPr>
            <w:tcW w:w="6349" w:type="dxa"/>
          </w:tcPr>
          <w:p w14:paraId="6892FD1F" w14:textId="77777777" w:rsidR="008F6F37" w:rsidRPr="00394A5B" w:rsidRDefault="008F6F37" w:rsidP="00BD6245">
            <w:pPr>
              <w:pStyle w:val="TableRowText"/>
            </w:pPr>
            <w:r w:rsidRPr="00394A5B">
              <w:t>Pembrokeshire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A058120" w14:textId="39E68042" w:rsidR="008F6F37" w:rsidRPr="00BD6245" w:rsidRDefault="008F6F37" w:rsidP="00BD6245">
            <w:pPr>
              <w:pStyle w:val="TableText"/>
            </w:pPr>
            <w:r w:rsidRPr="00BD6245">
              <w:t>57,013</w:t>
            </w:r>
          </w:p>
        </w:tc>
      </w:tr>
      <w:tr w:rsidR="00394A5B" w:rsidRPr="00394A5B" w14:paraId="01BC9F0B" w14:textId="77777777" w:rsidTr="001E4877">
        <w:tc>
          <w:tcPr>
            <w:tcW w:w="6349" w:type="dxa"/>
          </w:tcPr>
          <w:p w14:paraId="1F32A2C6" w14:textId="77777777" w:rsidR="008F6F37" w:rsidRPr="00394A5B" w:rsidRDefault="008F6F37" w:rsidP="00BD6245">
            <w:pPr>
              <w:pStyle w:val="TableRowText"/>
            </w:pPr>
            <w:r w:rsidRPr="00394A5B">
              <w:t>Carmarthenshire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49B37E7" w14:textId="54995527" w:rsidR="008F6F37" w:rsidRPr="00BD6245" w:rsidRDefault="008F6F37" w:rsidP="00BD6245">
            <w:pPr>
              <w:pStyle w:val="TableText"/>
            </w:pPr>
            <w:r w:rsidRPr="00BD6245">
              <w:t>76,614</w:t>
            </w:r>
          </w:p>
        </w:tc>
      </w:tr>
      <w:tr w:rsidR="00394A5B" w:rsidRPr="00394A5B" w14:paraId="40231C02" w14:textId="77777777" w:rsidTr="001E4877">
        <w:tc>
          <w:tcPr>
            <w:tcW w:w="6349" w:type="dxa"/>
          </w:tcPr>
          <w:p w14:paraId="3C2E21DE" w14:textId="77777777" w:rsidR="008F6F37" w:rsidRPr="00394A5B" w:rsidRDefault="008F6F37" w:rsidP="00BD6245">
            <w:pPr>
              <w:pStyle w:val="TableRowText"/>
            </w:pPr>
            <w:r w:rsidRPr="00394A5B">
              <w:t>Swansea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0D61652" w14:textId="44EF2B7B" w:rsidR="008F6F37" w:rsidRPr="00BD6245" w:rsidRDefault="008F6F37" w:rsidP="00BD6245">
            <w:pPr>
              <w:pStyle w:val="TableText"/>
            </w:pPr>
            <w:r w:rsidRPr="00BD6245">
              <w:t>94,061</w:t>
            </w:r>
          </w:p>
        </w:tc>
      </w:tr>
      <w:tr w:rsidR="00394A5B" w:rsidRPr="00394A5B" w14:paraId="557A2C89" w14:textId="77777777" w:rsidTr="001E4877">
        <w:tc>
          <w:tcPr>
            <w:tcW w:w="6349" w:type="dxa"/>
          </w:tcPr>
          <w:p w14:paraId="1DF658DD" w14:textId="77777777" w:rsidR="008F6F37" w:rsidRPr="00394A5B" w:rsidRDefault="008F6F37" w:rsidP="00BD6245">
            <w:pPr>
              <w:pStyle w:val="TableRowText"/>
            </w:pPr>
            <w:r w:rsidRPr="00394A5B">
              <w:t>Neath Port Talbot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EBBCB7D" w14:textId="58874FEA" w:rsidR="008F6F37" w:rsidRPr="00BD6245" w:rsidRDefault="008F6F37" w:rsidP="00BD6245">
            <w:pPr>
              <w:pStyle w:val="TableText"/>
            </w:pPr>
            <w:r w:rsidRPr="00BD6245">
              <w:t>49,635</w:t>
            </w:r>
          </w:p>
        </w:tc>
      </w:tr>
      <w:tr w:rsidR="00394A5B" w:rsidRPr="00394A5B" w14:paraId="3024D563" w14:textId="77777777" w:rsidTr="001E4877">
        <w:tc>
          <w:tcPr>
            <w:tcW w:w="6349" w:type="dxa"/>
          </w:tcPr>
          <w:p w14:paraId="4B0B7177" w14:textId="77777777" w:rsidR="008F6F37" w:rsidRPr="00394A5B" w:rsidRDefault="008F6F37" w:rsidP="00BD6245">
            <w:pPr>
              <w:pStyle w:val="TableRowText"/>
            </w:pPr>
            <w:r w:rsidRPr="00394A5B">
              <w:t>Bridgend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10CB913" w14:textId="3F2AFE3C" w:rsidR="008F6F37" w:rsidRPr="00BD6245" w:rsidRDefault="008F6F37" w:rsidP="00BD6245">
            <w:pPr>
              <w:pStyle w:val="TableText"/>
            </w:pPr>
            <w:r w:rsidRPr="00BD6245">
              <w:t>55,969</w:t>
            </w:r>
          </w:p>
        </w:tc>
      </w:tr>
      <w:tr w:rsidR="00394A5B" w:rsidRPr="00394A5B" w14:paraId="5D8370A2" w14:textId="77777777" w:rsidTr="001E4877">
        <w:trPr>
          <w:trHeight w:val="149"/>
        </w:trPr>
        <w:tc>
          <w:tcPr>
            <w:tcW w:w="6349" w:type="dxa"/>
          </w:tcPr>
          <w:p w14:paraId="101AF562" w14:textId="794326B8" w:rsidR="008F6F37" w:rsidRPr="00394A5B" w:rsidRDefault="00394A5B" w:rsidP="00BD6245">
            <w:pPr>
              <w:pStyle w:val="TableRowText"/>
            </w:pPr>
            <w:r>
              <w:t>The </w:t>
            </w:r>
            <w:r w:rsidR="008F6F37" w:rsidRPr="00394A5B">
              <w:t>Vale of Glamorgan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5446FD7" w14:textId="7EF89360" w:rsidR="008F6F37" w:rsidRPr="00BD6245" w:rsidRDefault="008F6F37" w:rsidP="00BD6245">
            <w:pPr>
              <w:pStyle w:val="TableText"/>
            </w:pPr>
            <w:r w:rsidRPr="00BD6245">
              <w:t>63,821</w:t>
            </w:r>
          </w:p>
        </w:tc>
      </w:tr>
      <w:tr w:rsidR="00394A5B" w:rsidRPr="00394A5B" w14:paraId="4CD88DD9" w14:textId="77777777" w:rsidTr="001E4877">
        <w:tc>
          <w:tcPr>
            <w:tcW w:w="6349" w:type="dxa"/>
          </w:tcPr>
          <w:p w14:paraId="1684D57D" w14:textId="77777777" w:rsidR="008F6F37" w:rsidRPr="00394A5B" w:rsidRDefault="008F6F37" w:rsidP="00BD6245">
            <w:pPr>
              <w:pStyle w:val="TableRowText"/>
            </w:pPr>
            <w:r w:rsidRPr="00394A5B">
              <w:t>Rhondda Cynon Taf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0FEDFB3" w14:textId="3737B28F" w:rsidR="008F6F37" w:rsidRPr="00BD6245" w:rsidRDefault="008F6F37" w:rsidP="00BD6245">
            <w:pPr>
              <w:pStyle w:val="TableText"/>
            </w:pPr>
            <w:r w:rsidRPr="00BD6245">
              <w:t>79,933</w:t>
            </w:r>
          </w:p>
        </w:tc>
      </w:tr>
      <w:tr w:rsidR="00394A5B" w:rsidRPr="00394A5B" w14:paraId="2429AB18" w14:textId="77777777" w:rsidTr="001E4877">
        <w:tc>
          <w:tcPr>
            <w:tcW w:w="6349" w:type="dxa"/>
          </w:tcPr>
          <w:p w14:paraId="2AC6A409" w14:textId="77777777" w:rsidR="008F6F37" w:rsidRPr="00394A5B" w:rsidRDefault="008F6F37" w:rsidP="00BD6245">
            <w:pPr>
              <w:pStyle w:val="TableRowText"/>
            </w:pPr>
            <w:r w:rsidRPr="00394A5B">
              <w:t>Merthyr Tydfil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18FC949" w14:textId="079C876E" w:rsidR="008F6F37" w:rsidRPr="00BD6245" w:rsidRDefault="008F6F37" w:rsidP="00BD6245">
            <w:pPr>
              <w:pStyle w:val="TableText"/>
            </w:pPr>
            <w:r w:rsidRPr="00BD6245">
              <w:t>19,370</w:t>
            </w:r>
          </w:p>
        </w:tc>
      </w:tr>
      <w:tr w:rsidR="00394A5B" w:rsidRPr="00394A5B" w14:paraId="318A8656" w14:textId="77777777" w:rsidTr="001E4877">
        <w:tc>
          <w:tcPr>
            <w:tcW w:w="6349" w:type="dxa"/>
          </w:tcPr>
          <w:p w14:paraId="6D958CAF" w14:textId="77777777" w:rsidR="008F6F37" w:rsidRPr="00394A5B" w:rsidRDefault="008F6F37" w:rsidP="00BD6245">
            <w:pPr>
              <w:pStyle w:val="TableRowText"/>
            </w:pPr>
            <w:r w:rsidRPr="00394A5B">
              <w:t>Caerphilly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D431508" w14:textId="06A4A1A3" w:rsidR="008F6F37" w:rsidRPr="00BD6245" w:rsidRDefault="008F6F37" w:rsidP="00BD6245">
            <w:pPr>
              <w:pStyle w:val="TableText"/>
            </w:pPr>
            <w:r w:rsidRPr="00BD6245">
              <w:t>62,628</w:t>
            </w:r>
          </w:p>
        </w:tc>
      </w:tr>
      <w:tr w:rsidR="00394A5B" w:rsidRPr="00394A5B" w14:paraId="07400DAE" w14:textId="77777777" w:rsidTr="001E4877">
        <w:tc>
          <w:tcPr>
            <w:tcW w:w="6349" w:type="dxa"/>
          </w:tcPr>
          <w:p w14:paraId="2A504E16" w14:textId="77777777" w:rsidR="008F6F37" w:rsidRPr="00394A5B" w:rsidRDefault="008F6F37" w:rsidP="00BD6245">
            <w:pPr>
              <w:pStyle w:val="TableRowText"/>
            </w:pPr>
            <w:r w:rsidRPr="00394A5B">
              <w:t>Blaenau Gwent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5D06859" w14:textId="4311FF0B" w:rsidR="008F6F37" w:rsidRPr="00BD6245" w:rsidRDefault="008F6F37" w:rsidP="00BD6245">
            <w:pPr>
              <w:pStyle w:val="TableText"/>
            </w:pPr>
            <w:r w:rsidRPr="00BD6245">
              <w:t>21,976</w:t>
            </w:r>
          </w:p>
        </w:tc>
      </w:tr>
      <w:tr w:rsidR="00394A5B" w:rsidRPr="00394A5B" w14:paraId="43215EA7" w14:textId="77777777" w:rsidTr="001E4877">
        <w:tc>
          <w:tcPr>
            <w:tcW w:w="6349" w:type="dxa"/>
          </w:tcPr>
          <w:p w14:paraId="3F597C8A" w14:textId="77777777" w:rsidR="008F6F37" w:rsidRPr="00394A5B" w:rsidRDefault="008F6F37" w:rsidP="00BD6245">
            <w:pPr>
              <w:pStyle w:val="TableRowText"/>
            </w:pPr>
            <w:r w:rsidRPr="00394A5B">
              <w:t>Torfaen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70B9A0A" w14:textId="4A660C76" w:rsidR="008F6F37" w:rsidRPr="00BD6245" w:rsidRDefault="008F6F37" w:rsidP="00BD6245">
            <w:pPr>
              <w:pStyle w:val="TableText"/>
            </w:pPr>
            <w:r w:rsidRPr="00BD6245">
              <w:t>34,845</w:t>
            </w:r>
          </w:p>
        </w:tc>
      </w:tr>
      <w:tr w:rsidR="00394A5B" w:rsidRPr="00394A5B" w14:paraId="55D570F2" w14:textId="77777777" w:rsidTr="001E4877">
        <w:tc>
          <w:tcPr>
            <w:tcW w:w="6349" w:type="dxa"/>
          </w:tcPr>
          <w:p w14:paraId="72391185" w14:textId="77777777" w:rsidR="008F6F37" w:rsidRPr="00394A5B" w:rsidRDefault="008F6F37" w:rsidP="00BD6245">
            <w:pPr>
              <w:pStyle w:val="TableRowText"/>
            </w:pPr>
            <w:r w:rsidRPr="00394A5B">
              <w:t>Monmouthshire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26207E4" w14:textId="700520E0" w:rsidR="008F6F37" w:rsidRPr="00BD6245" w:rsidRDefault="008F6F37" w:rsidP="00BD6245">
            <w:pPr>
              <w:pStyle w:val="TableText"/>
            </w:pPr>
            <w:r w:rsidRPr="00BD6245">
              <w:t>47,851</w:t>
            </w:r>
          </w:p>
        </w:tc>
      </w:tr>
      <w:tr w:rsidR="00394A5B" w:rsidRPr="00394A5B" w14:paraId="014F2EE3" w14:textId="77777777" w:rsidTr="001E4877">
        <w:tc>
          <w:tcPr>
            <w:tcW w:w="6349" w:type="dxa"/>
            <w:tcBorders>
              <w:bottom w:val="nil"/>
            </w:tcBorders>
          </w:tcPr>
          <w:p w14:paraId="785AD9D0" w14:textId="77777777" w:rsidR="008F6F37" w:rsidRPr="00394A5B" w:rsidRDefault="008F6F37" w:rsidP="00BD6245">
            <w:pPr>
              <w:pStyle w:val="TableRowText"/>
            </w:pPr>
            <w:r w:rsidRPr="00394A5B">
              <w:t>Newport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06301F7" w14:textId="0CA9F223" w:rsidR="008F6F37" w:rsidRPr="00BD6245" w:rsidRDefault="008F6F37" w:rsidP="00BD6245">
            <w:pPr>
              <w:pStyle w:val="TableText"/>
            </w:pPr>
            <w:r w:rsidRPr="00BD6245">
              <w:t>61,841</w:t>
            </w:r>
          </w:p>
        </w:tc>
      </w:tr>
      <w:tr w:rsidR="00394A5B" w:rsidRPr="00394A5B" w14:paraId="5E509C48" w14:textId="77777777" w:rsidTr="001E4877">
        <w:tc>
          <w:tcPr>
            <w:tcW w:w="6349" w:type="dxa"/>
            <w:tcBorders>
              <w:top w:val="nil"/>
              <w:bottom w:val="single" w:sz="4" w:space="0" w:color="auto"/>
            </w:tcBorders>
          </w:tcPr>
          <w:p w14:paraId="55C658E2" w14:textId="77777777" w:rsidR="008F6F37" w:rsidRPr="00394A5B" w:rsidRDefault="008F6F37" w:rsidP="00BD6245">
            <w:pPr>
              <w:pStyle w:val="TableRowText"/>
            </w:pPr>
            <w:r w:rsidRPr="00394A5B">
              <w:t>Cardiff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354CCC91" w14:textId="337C784B" w:rsidR="008F6F37" w:rsidRPr="00BD6245" w:rsidRDefault="008F6F37" w:rsidP="00BD6245">
            <w:pPr>
              <w:pStyle w:val="TableText"/>
            </w:pPr>
            <w:r w:rsidRPr="00BD6245">
              <w:t>150,955</w:t>
            </w:r>
          </w:p>
        </w:tc>
      </w:tr>
      <w:tr w:rsidR="00394A5B" w:rsidRPr="001E4877" w14:paraId="625DAF36" w14:textId="77777777" w:rsidTr="001E4877">
        <w:tc>
          <w:tcPr>
            <w:tcW w:w="6349" w:type="dxa"/>
            <w:tcBorders>
              <w:top w:val="single" w:sz="4" w:space="0" w:color="auto"/>
              <w:bottom w:val="single" w:sz="4" w:space="0" w:color="auto"/>
            </w:tcBorders>
          </w:tcPr>
          <w:p w14:paraId="4C1660FC" w14:textId="77777777" w:rsidR="008F6F37" w:rsidRPr="001E4877" w:rsidRDefault="008F6F37" w:rsidP="00BD6245">
            <w:pPr>
              <w:pStyle w:val="TableRowText"/>
              <w:rPr>
                <w:b/>
              </w:rPr>
            </w:pPr>
            <w:r w:rsidRPr="001E4877">
              <w:rPr>
                <w:b/>
              </w:rPr>
              <w:t xml:space="preserve">Wales total 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11937E37" w14:textId="27DEFEC4" w:rsidR="008F6F37" w:rsidRPr="001E4877" w:rsidRDefault="008F6F37" w:rsidP="00BD6245">
            <w:pPr>
              <w:pStyle w:val="TableText"/>
              <w:rPr>
                <w:b/>
              </w:rPr>
            </w:pPr>
            <w:r w:rsidRPr="001E4877">
              <w:rPr>
                <w:b/>
              </w:rPr>
              <w:t>1,265,370</w:t>
            </w:r>
          </w:p>
        </w:tc>
      </w:tr>
    </w:tbl>
    <w:p w14:paraId="2DE8EDC0" w14:textId="5614A0D3" w:rsidR="00D809B5" w:rsidRPr="00394A5B" w:rsidRDefault="00BB5925" w:rsidP="00257F83">
      <w:pPr>
        <w:pStyle w:val="TableNotes"/>
      </w:pPr>
      <w:r w:rsidRPr="00394A5B">
        <w:t>Notes:</w:t>
      </w:r>
      <w:r w:rsidRPr="00394A5B">
        <w:tab/>
      </w:r>
      <w:r w:rsidR="00664DC6" w:rsidRPr="00394A5B">
        <w:t xml:space="preserve">An explanation of Band D equivalent properties is given </w:t>
      </w:r>
      <w:r w:rsidR="00A113BC" w:rsidRPr="00394A5B">
        <w:t>in Annex 3 – Explanatory Notes.</w:t>
      </w:r>
      <w:r w:rsidR="00D809B5" w:rsidRPr="00394A5B">
        <w:t xml:space="preserve"> </w:t>
      </w:r>
      <w:r w:rsidRPr="00394A5B">
        <w:t xml:space="preserve">Due </w:t>
      </w:r>
      <w:r w:rsidR="00782621" w:rsidRPr="00394A5B">
        <w:t xml:space="preserve">to rounding, </w:t>
      </w:r>
      <w:r w:rsidR="00685827">
        <w:t>the </w:t>
      </w:r>
      <w:r w:rsidR="00782621" w:rsidRPr="00394A5B">
        <w:t xml:space="preserve">sum of </w:t>
      </w:r>
      <w:r w:rsidR="00685827">
        <w:t>the </w:t>
      </w:r>
      <w:r w:rsidR="00782621" w:rsidRPr="00394A5B">
        <w:t>tax-</w:t>
      </w:r>
      <w:r w:rsidRPr="00394A5B">
        <w:t xml:space="preserve">base for all </w:t>
      </w:r>
      <w:r w:rsidR="00685827">
        <w:t>the </w:t>
      </w:r>
      <w:r w:rsidRPr="00394A5B">
        <w:t xml:space="preserve">county and county borough councils may not add to </w:t>
      </w:r>
      <w:r w:rsidR="00685827">
        <w:t>the </w:t>
      </w:r>
      <w:r w:rsidRPr="00394A5B">
        <w:t>Wales total</w:t>
      </w:r>
      <w:r w:rsidR="00A60AFE" w:rsidRPr="00394A5B">
        <w:t>.</w:t>
      </w:r>
    </w:p>
    <w:p w14:paraId="7847DD9C" w14:textId="780D939E" w:rsidR="00D809B5" w:rsidRPr="00394A5B" w:rsidRDefault="00D809B5">
      <w:pPr>
        <w:rPr>
          <w:rFonts w:cs="Arial"/>
          <w:i/>
        </w:rPr>
      </w:pPr>
      <w:r w:rsidRPr="00394A5B">
        <w:rPr>
          <w:rFonts w:cs="Arial"/>
          <w:i/>
        </w:rPr>
        <w:br w:type="page"/>
      </w:r>
    </w:p>
    <w:p w14:paraId="6BAA9DA0" w14:textId="43FBB05C" w:rsidR="00664DC6" w:rsidRPr="00394A5B" w:rsidRDefault="00F9177B" w:rsidP="00D809B5">
      <w:pPr>
        <w:pStyle w:val="Heading2"/>
        <w:rPr>
          <w:rFonts w:cs="Arial"/>
          <w:i/>
        </w:rPr>
      </w:pPr>
      <w:bookmarkStart w:id="26" w:name="_Toc434935719"/>
      <w:bookmarkStart w:id="27" w:name="_Toc434935973"/>
      <w:bookmarkStart w:id="28" w:name="_Toc435431402"/>
      <w:bookmarkStart w:id="29" w:name="_Toc58999027"/>
      <w:r>
        <w:t>Chapter </w:t>
      </w:r>
      <w:r w:rsidR="00664DC6" w:rsidRPr="00394A5B">
        <w:t>4</w:t>
      </w:r>
      <w:r w:rsidR="00A60AFE" w:rsidRPr="00394A5B">
        <w:t xml:space="preserve">: </w:t>
      </w:r>
      <w:r w:rsidR="00664DC6" w:rsidRPr="00394A5B">
        <w:t xml:space="preserve">Calculation of </w:t>
      </w:r>
      <w:r w:rsidR="00685827">
        <w:t>the </w:t>
      </w:r>
      <w:r w:rsidR="00664DC6" w:rsidRPr="00394A5B">
        <w:t xml:space="preserve">amount of non-domestic rates for each </w:t>
      </w:r>
      <w:r w:rsidR="00CB2EF6" w:rsidRPr="00394A5B">
        <w:t>C</w:t>
      </w:r>
      <w:r w:rsidR="00664DC6" w:rsidRPr="00394A5B">
        <w:t>ouncil</w:t>
      </w:r>
      <w:bookmarkEnd w:id="26"/>
      <w:bookmarkEnd w:id="27"/>
      <w:bookmarkEnd w:id="28"/>
      <w:bookmarkEnd w:id="29"/>
    </w:p>
    <w:p w14:paraId="0B6DF89E" w14:textId="7164C581" w:rsidR="00664DC6" w:rsidRPr="00394A5B" w:rsidRDefault="006B20D3" w:rsidP="00885774">
      <w:pPr>
        <w:ind w:left="567" w:hanging="567"/>
        <w:rPr>
          <w:rFonts w:cs="Arial"/>
          <w:szCs w:val="24"/>
        </w:rPr>
      </w:pPr>
      <w:r w:rsidRPr="00394A5B">
        <w:rPr>
          <w:rFonts w:cs="Arial"/>
          <w:szCs w:val="24"/>
        </w:rPr>
        <w:t>4.1</w:t>
      </w:r>
      <w:r w:rsidRPr="00394A5B">
        <w:rPr>
          <w:rFonts w:cs="Arial"/>
          <w:szCs w:val="24"/>
        </w:rPr>
        <w:tab/>
      </w:r>
      <w:r w:rsidR="004B6FFF" w:rsidRPr="00394A5B">
        <w:rPr>
          <w:rFonts w:cs="Arial"/>
          <w:szCs w:val="24"/>
        </w:rPr>
        <w:t>This</w:t>
      </w:r>
      <w:r w:rsidR="00664DC6" w:rsidRPr="00394A5B">
        <w:rPr>
          <w:rFonts w:cs="Arial"/>
          <w:szCs w:val="24"/>
        </w:rPr>
        <w:t xml:space="preserve"> chapter specifies </w:t>
      </w:r>
      <w:r w:rsidR="00685827">
        <w:rPr>
          <w:rFonts w:cs="Arial"/>
          <w:szCs w:val="24"/>
        </w:rPr>
        <w:t>the </w:t>
      </w:r>
      <w:r w:rsidR="00664DC6" w:rsidRPr="00394A5B">
        <w:rPr>
          <w:rFonts w:cs="Arial"/>
          <w:szCs w:val="24"/>
        </w:rPr>
        <w:t xml:space="preserve">basis on which </w:t>
      </w:r>
      <w:r w:rsidR="00642F6B" w:rsidRPr="00394A5B">
        <w:rPr>
          <w:rFonts w:cs="Arial"/>
          <w:szCs w:val="24"/>
        </w:rPr>
        <w:t xml:space="preserve">Welsh </w:t>
      </w:r>
      <w:r w:rsidR="00FF7FD1" w:rsidRPr="00394A5B">
        <w:rPr>
          <w:rFonts w:cs="Arial"/>
          <w:szCs w:val="24"/>
        </w:rPr>
        <w:t>Ministers</w:t>
      </w:r>
      <w:r w:rsidR="00642F6B" w:rsidRPr="00394A5B">
        <w:rPr>
          <w:rFonts w:cs="Arial"/>
          <w:szCs w:val="24"/>
        </w:rPr>
        <w:t xml:space="preserve"> </w:t>
      </w:r>
      <w:r w:rsidR="00664DC6" w:rsidRPr="00394A5B">
        <w:rPr>
          <w:rFonts w:cs="Arial"/>
          <w:szCs w:val="24"/>
        </w:rPr>
        <w:t xml:space="preserve">will distribute among </w:t>
      </w:r>
      <w:r w:rsidR="00CB2EF6" w:rsidRPr="00394A5B">
        <w:rPr>
          <w:rFonts w:cs="Arial"/>
          <w:szCs w:val="24"/>
        </w:rPr>
        <w:t>C</w:t>
      </w:r>
      <w:r w:rsidR="00664DC6" w:rsidRPr="00394A5B">
        <w:rPr>
          <w:rFonts w:cs="Arial"/>
          <w:szCs w:val="24"/>
        </w:rPr>
        <w:t xml:space="preserve">ouncils </w:t>
      </w:r>
      <w:r w:rsidR="00685827">
        <w:rPr>
          <w:rFonts w:cs="Arial"/>
          <w:szCs w:val="24"/>
        </w:rPr>
        <w:t>the </w:t>
      </w:r>
      <w:r w:rsidR="00664DC6" w:rsidRPr="00394A5B">
        <w:rPr>
          <w:rFonts w:cs="Arial"/>
          <w:szCs w:val="24"/>
        </w:rPr>
        <w:t xml:space="preserve">appropriate share of </w:t>
      </w:r>
      <w:r w:rsidR="00685827">
        <w:rPr>
          <w:rFonts w:cs="Arial"/>
          <w:szCs w:val="24"/>
        </w:rPr>
        <w:t>the </w:t>
      </w:r>
      <w:r w:rsidR="00664DC6" w:rsidRPr="00394A5B">
        <w:rPr>
          <w:rFonts w:cs="Arial"/>
          <w:szCs w:val="24"/>
        </w:rPr>
        <w:t xml:space="preserve">distributable amount from </w:t>
      </w:r>
      <w:r w:rsidR="00685827">
        <w:rPr>
          <w:rFonts w:cs="Arial"/>
          <w:szCs w:val="24"/>
        </w:rPr>
        <w:t>the </w:t>
      </w:r>
      <w:r w:rsidR="00664DC6" w:rsidRPr="00394A5B">
        <w:rPr>
          <w:rFonts w:cs="Arial"/>
          <w:szCs w:val="24"/>
        </w:rPr>
        <w:t xml:space="preserve">non-domestic rating account for </w:t>
      </w:r>
      <w:r w:rsidR="00F87CE6" w:rsidRPr="00394A5B">
        <w:rPr>
          <w:rFonts w:cs="Arial"/>
          <w:szCs w:val="24"/>
        </w:rPr>
        <w:t>202</w:t>
      </w:r>
      <w:r w:rsidR="00225CE6" w:rsidRPr="00394A5B">
        <w:rPr>
          <w:rFonts w:cs="Arial"/>
          <w:szCs w:val="24"/>
        </w:rPr>
        <w:t>2</w:t>
      </w:r>
      <w:r w:rsidR="006B6D30" w:rsidRPr="00394A5B">
        <w:rPr>
          <w:rFonts w:cs="Arial"/>
          <w:szCs w:val="24"/>
        </w:rPr>
        <w:t>-</w:t>
      </w:r>
      <w:r w:rsidR="00B04711" w:rsidRPr="00394A5B">
        <w:rPr>
          <w:rFonts w:cs="Arial"/>
          <w:szCs w:val="24"/>
        </w:rPr>
        <w:t>2</w:t>
      </w:r>
      <w:r w:rsidR="00225CE6" w:rsidRPr="00394A5B">
        <w:rPr>
          <w:rFonts w:cs="Arial"/>
          <w:szCs w:val="24"/>
        </w:rPr>
        <w:t>3</w:t>
      </w:r>
      <w:r w:rsidR="00885552" w:rsidRPr="00394A5B">
        <w:rPr>
          <w:rFonts w:cs="Arial"/>
          <w:szCs w:val="24"/>
        </w:rPr>
        <w:t xml:space="preserve">.  </w:t>
      </w:r>
      <w:r w:rsidR="00664DC6" w:rsidRPr="00394A5B">
        <w:rPr>
          <w:rFonts w:cs="Arial"/>
          <w:szCs w:val="24"/>
        </w:rPr>
        <w:t xml:space="preserve">It will be distributed pro rata to adult population in each </w:t>
      </w:r>
      <w:r w:rsidR="00CB2EF6" w:rsidRPr="00394A5B">
        <w:rPr>
          <w:rFonts w:cs="Arial"/>
          <w:szCs w:val="24"/>
        </w:rPr>
        <w:t>C</w:t>
      </w:r>
      <w:r w:rsidR="00664DC6" w:rsidRPr="00394A5B">
        <w:rPr>
          <w:rFonts w:cs="Arial"/>
          <w:szCs w:val="24"/>
        </w:rPr>
        <w:t>ouncil'</w:t>
      </w:r>
      <w:r w:rsidR="00B0496A" w:rsidRPr="00394A5B">
        <w:rPr>
          <w:rFonts w:cs="Arial"/>
          <w:szCs w:val="24"/>
        </w:rPr>
        <w:t xml:space="preserve">s area, using </w:t>
      </w:r>
      <w:r w:rsidR="00685827">
        <w:rPr>
          <w:rFonts w:cs="Arial"/>
          <w:szCs w:val="24"/>
        </w:rPr>
        <w:t>the </w:t>
      </w:r>
      <w:r w:rsidR="00A60AFE" w:rsidRPr="00394A5B">
        <w:rPr>
          <w:rFonts w:cs="Arial"/>
          <w:szCs w:val="24"/>
        </w:rPr>
        <w:t xml:space="preserve">following </w:t>
      </w:r>
      <w:r w:rsidR="00B0496A" w:rsidRPr="00394A5B">
        <w:rPr>
          <w:rFonts w:cs="Arial"/>
          <w:szCs w:val="24"/>
        </w:rPr>
        <w:t>formula.</w:t>
      </w:r>
    </w:p>
    <w:p w14:paraId="575E9E2C" w14:textId="5ADBE7A6" w:rsidR="00E721B5" w:rsidRPr="00394A5B" w:rsidRDefault="002F682F" w:rsidP="00885774">
      <w:pPr>
        <w:pStyle w:val="NoSpacing"/>
        <w:tabs>
          <w:tab w:val="right" w:pos="2268"/>
        </w:tabs>
        <w:rPr>
          <w:u w:val="single"/>
        </w:rPr>
      </w:pPr>
      <w:r>
        <w:tab/>
      </w:r>
      <w:r w:rsidR="00E721B5" w:rsidRPr="00394A5B">
        <w:t>(F x 9</w:t>
      </w:r>
      <w:r w:rsidR="00ED26F0" w:rsidRPr="00394A5B">
        <w:t>9.9</w:t>
      </w:r>
      <w:r w:rsidR="00E721B5" w:rsidRPr="00394A5B">
        <w:t xml:space="preserve">%) x </w:t>
      </w:r>
      <w:r w:rsidR="00E721B5" w:rsidRPr="00394A5B">
        <w:rPr>
          <w:u w:val="single"/>
        </w:rPr>
        <w:t>G</w:t>
      </w:r>
    </w:p>
    <w:p w14:paraId="58881F3E" w14:textId="632F835C" w:rsidR="006B20D3" w:rsidRPr="00394A5B" w:rsidRDefault="002F682F" w:rsidP="00885774">
      <w:pPr>
        <w:tabs>
          <w:tab w:val="right" w:pos="2268"/>
        </w:tabs>
        <w:ind w:firstLine="1701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E721B5" w:rsidRPr="00394A5B">
        <w:rPr>
          <w:rFonts w:cs="Arial"/>
          <w:szCs w:val="24"/>
        </w:rPr>
        <w:t>H</w:t>
      </w:r>
    </w:p>
    <w:p w14:paraId="629F5A26" w14:textId="77777777" w:rsidR="00E3249B" w:rsidRPr="00394A5B" w:rsidRDefault="00664DC6" w:rsidP="00885774">
      <w:pPr>
        <w:pStyle w:val="Indent"/>
      </w:pPr>
      <w:r w:rsidRPr="00394A5B">
        <w:t>where:</w:t>
      </w:r>
    </w:p>
    <w:p w14:paraId="4DDFE4DA" w14:textId="277B1446" w:rsidR="00453532" w:rsidRPr="00394A5B" w:rsidRDefault="00453532" w:rsidP="00885774">
      <w:pPr>
        <w:pStyle w:val="Indent"/>
      </w:pPr>
      <w:r w:rsidRPr="00394A5B">
        <w:t>F</w:t>
      </w:r>
      <w:r w:rsidRPr="00394A5B">
        <w:tab/>
        <w:t xml:space="preserve">is </w:t>
      </w:r>
      <w:r w:rsidR="00685827">
        <w:t>the </w:t>
      </w:r>
      <w:r w:rsidRPr="00394A5B">
        <w:t xml:space="preserve">distributable amount, specified in </w:t>
      </w:r>
      <w:r w:rsidR="00394A5B">
        <w:t>paragraph </w:t>
      </w:r>
      <w:r w:rsidRPr="00394A5B">
        <w:t xml:space="preserve">2.3 of </w:t>
      </w:r>
      <w:r w:rsidR="00F9177B">
        <w:t>Chapter </w:t>
      </w:r>
      <w:r w:rsidRPr="00394A5B">
        <w:t>2 of this Report</w:t>
      </w:r>
    </w:p>
    <w:p w14:paraId="0F7685A0" w14:textId="558975E8" w:rsidR="00453532" w:rsidRPr="00394A5B" w:rsidRDefault="00453532" w:rsidP="00885774">
      <w:pPr>
        <w:pStyle w:val="Indent"/>
      </w:pPr>
      <w:r w:rsidRPr="00394A5B">
        <w:t>G</w:t>
      </w:r>
      <w:r w:rsidRPr="00394A5B">
        <w:tab/>
        <w:t xml:space="preserve">is </w:t>
      </w:r>
      <w:r w:rsidR="00685827">
        <w:t>the </w:t>
      </w:r>
      <w:r w:rsidRPr="00394A5B">
        <w:t xml:space="preserve">resident population aged 18 years and over in each Council area for </w:t>
      </w:r>
      <w:r w:rsidR="00685827">
        <w:t>the </w:t>
      </w:r>
      <w:r w:rsidRPr="00394A5B">
        <w:t xml:space="preserve">period up to </w:t>
      </w:r>
      <w:r w:rsidR="00685827">
        <w:t>the </w:t>
      </w:r>
      <w:r w:rsidRPr="00394A5B">
        <w:t>end of June 20</w:t>
      </w:r>
      <w:r w:rsidR="00225CE6" w:rsidRPr="00394A5B">
        <w:t>20</w:t>
      </w:r>
      <w:r w:rsidRPr="00394A5B">
        <w:t xml:space="preserve">.  </w:t>
      </w:r>
      <w:r w:rsidR="00394A5B">
        <w:t>The </w:t>
      </w:r>
      <w:r w:rsidRPr="00394A5B">
        <w:t xml:space="preserve">latest release takes into account </w:t>
      </w:r>
      <w:r w:rsidR="00685827">
        <w:t>the </w:t>
      </w:r>
      <w:r w:rsidRPr="00394A5B">
        <w:t xml:space="preserve">results of </w:t>
      </w:r>
      <w:r w:rsidR="00685827">
        <w:t>the </w:t>
      </w:r>
      <w:r w:rsidRPr="00394A5B">
        <w:t xml:space="preserve">2011 Census, as derived from estimates by </w:t>
      </w:r>
      <w:r w:rsidR="00685827">
        <w:t>the </w:t>
      </w:r>
      <w:r w:rsidRPr="00394A5B">
        <w:t xml:space="preserve">Office for National Statistics and specified in </w:t>
      </w:r>
      <w:r w:rsidR="00394A5B">
        <w:t>Table </w:t>
      </w:r>
      <w:r w:rsidRPr="00394A5B">
        <w:t>4.1</w:t>
      </w:r>
    </w:p>
    <w:p w14:paraId="018A7F5B" w14:textId="24CA1ED3" w:rsidR="00081BE3" w:rsidRPr="00394A5B" w:rsidRDefault="00453532" w:rsidP="00885774">
      <w:pPr>
        <w:pStyle w:val="Indent"/>
      </w:pPr>
      <w:r w:rsidRPr="00394A5B">
        <w:t>H</w:t>
      </w:r>
      <w:r w:rsidRPr="00394A5B">
        <w:tab/>
        <w:t xml:space="preserve">is </w:t>
      </w:r>
      <w:r w:rsidR="00685827">
        <w:t>the </w:t>
      </w:r>
      <w:r w:rsidRPr="00394A5B">
        <w:t xml:space="preserve">population of Wales on </w:t>
      </w:r>
      <w:r w:rsidR="00685827">
        <w:t>the </w:t>
      </w:r>
      <w:r w:rsidRPr="00394A5B">
        <w:t>same basis as set out in respect of G</w:t>
      </w:r>
    </w:p>
    <w:p w14:paraId="394466A7" w14:textId="6014BCA7" w:rsidR="00664DC6" w:rsidRPr="00685827" w:rsidRDefault="00664DC6" w:rsidP="00685827">
      <w:pPr>
        <w:pStyle w:val="Heading3"/>
      </w:pPr>
      <w:r w:rsidRPr="00685827">
        <w:br w:type="page"/>
      </w:r>
      <w:r w:rsidR="00394A5B" w:rsidRPr="00685827">
        <w:t>Table </w:t>
      </w:r>
      <w:r w:rsidRPr="00685827">
        <w:t>4.1</w:t>
      </w:r>
      <w:r w:rsidR="00A60AFE" w:rsidRPr="00685827">
        <w:t xml:space="preserve">: </w:t>
      </w:r>
      <w:r w:rsidRPr="00685827">
        <w:t xml:space="preserve">Resident population aged </w:t>
      </w:r>
      <w:r w:rsidR="00593439" w:rsidRPr="00685827">
        <w:t xml:space="preserve">18 years and over at 30 June </w:t>
      </w:r>
      <w:r w:rsidR="006078EB" w:rsidRPr="00685827">
        <w:t>20</w:t>
      </w:r>
      <w:r w:rsidR="00225CE6" w:rsidRPr="00685827">
        <w:t>20</w:t>
      </w:r>
      <w:r w:rsidR="00381150" w:rsidRPr="00685827">
        <w:footnoteReference w:id="4"/>
      </w:r>
    </w:p>
    <w:tbl>
      <w:tblPr>
        <w:tblW w:w="9213" w:type="dxa"/>
        <w:tblInd w:w="57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57" w:type="dxa"/>
          <w:right w:w="57" w:type="dxa"/>
        </w:tblCellMar>
        <w:tblLook w:val="0060" w:firstRow="1" w:lastRow="1" w:firstColumn="0" w:lastColumn="0" w:noHBand="0" w:noVBand="0"/>
        <w:tblDescription w:val="Table 4.1: Resident population aged 18 years and over at 30 June 2019"/>
      </w:tblPr>
      <w:tblGrid>
        <w:gridCol w:w="6350"/>
        <w:gridCol w:w="2863"/>
      </w:tblGrid>
      <w:tr w:rsidR="00394A5B" w:rsidRPr="00394A5B" w14:paraId="1D82EED5" w14:textId="77777777" w:rsidTr="001E4877">
        <w:trPr>
          <w:trHeight w:val="544"/>
          <w:tblHeader/>
        </w:trPr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38ED76" w14:textId="77777777" w:rsidR="00B16E0D" w:rsidRPr="00394A5B" w:rsidRDefault="00B16E0D" w:rsidP="00BD6245">
            <w:pPr>
              <w:pStyle w:val="TableHeadings"/>
            </w:pPr>
            <w:r w:rsidRPr="00394A5B">
              <w:t>County and county borough councils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FA7C64" w14:textId="77777777" w:rsidR="00B16E0D" w:rsidRPr="00394A5B" w:rsidRDefault="002A12F5" w:rsidP="00BD6245">
            <w:pPr>
              <w:pStyle w:val="TableHeadings"/>
            </w:pPr>
            <w:r w:rsidRPr="00394A5B">
              <w:t>Prescribed figure (rounded)</w:t>
            </w:r>
          </w:p>
        </w:tc>
      </w:tr>
      <w:tr w:rsidR="00394A5B" w:rsidRPr="00394A5B" w14:paraId="6A67E88C" w14:textId="77777777" w:rsidTr="001E4877">
        <w:tc>
          <w:tcPr>
            <w:tcW w:w="6350" w:type="dxa"/>
          </w:tcPr>
          <w:p w14:paraId="243C6E2A" w14:textId="77777777" w:rsidR="005E25F7" w:rsidRPr="00394A5B" w:rsidRDefault="005E25F7" w:rsidP="00BD6245">
            <w:pPr>
              <w:pStyle w:val="TableRowText"/>
            </w:pPr>
            <w:r w:rsidRPr="00394A5B">
              <w:t>Isle of Anglesey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5B1601" w14:textId="51B08634" w:rsidR="005E25F7" w:rsidRPr="00394A5B" w:rsidRDefault="005E25F7" w:rsidP="00BD6245">
            <w:pPr>
              <w:pStyle w:val="TableText"/>
            </w:pPr>
            <w:r w:rsidRPr="00394A5B">
              <w:t xml:space="preserve">          57,100 </w:t>
            </w:r>
          </w:p>
        </w:tc>
      </w:tr>
      <w:tr w:rsidR="00394A5B" w:rsidRPr="00394A5B" w14:paraId="64834804" w14:textId="77777777" w:rsidTr="001E4877">
        <w:tc>
          <w:tcPr>
            <w:tcW w:w="6350" w:type="dxa"/>
          </w:tcPr>
          <w:p w14:paraId="2F5127F0" w14:textId="77777777" w:rsidR="005E25F7" w:rsidRPr="00394A5B" w:rsidRDefault="005E25F7" w:rsidP="00BD6245">
            <w:pPr>
              <w:pStyle w:val="TableRowText"/>
            </w:pPr>
            <w:r w:rsidRPr="00394A5B">
              <w:t>Gwynedd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75FD4D" w14:textId="33346C54" w:rsidR="005E25F7" w:rsidRPr="00394A5B" w:rsidRDefault="005E25F7" w:rsidP="00BD6245">
            <w:pPr>
              <w:pStyle w:val="TableText"/>
            </w:pPr>
            <w:r w:rsidRPr="00394A5B">
              <w:t xml:space="preserve">        102,000 </w:t>
            </w:r>
          </w:p>
        </w:tc>
      </w:tr>
      <w:tr w:rsidR="00394A5B" w:rsidRPr="00394A5B" w14:paraId="1D1C2EB0" w14:textId="77777777" w:rsidTr="001E4877">
        <w:tc>
          <w:tcPr>
            <w:tcW w:w="6350" w:type="dxa"/>
          </w:tcPr>
          <w:p w14:paraId="1B6EA184" w14:textId="77777777" w:rsidR="005E25F7" w:rsidRPr="00394A5B" w:rsidRDefault="005E25F7" w:rsidP="00BD6245">
            <w:pPr>
              <w:pStyle w:val="TableRowText"/>
            </w:pPr>
            <w:r w:rsidRPr="00394A5B">
              <w:t>Conwy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36F32E" w14:textId="7D2C9A5E" w:rsidR="005E25F7" w:rsidRPr="00394A5B" w:rsidRDefault="005E25F7" w:rsidP="00BD6245">
            <w:pPr>
              <w:pStyle w:val="TableText"/>
            </w:pPr>
            <w:r w:rsidRPr="00394A5B">
              <w:t xml:space="preserve">          97,000 </w:t>
            </w:r>
          </w:p>
        </w:tc>
      </w:tr>
      <w:tr w:rsidR="00394A5B" w:rsidRPr="00394A5B" w14:paraId="0DEE7EAD" w14:textId="77777777" w:rsidTr="001E4877">
        <w:tc>
          <w:tcPr>
            <w:tcW w:w="6350" w:type="dxa"/>
          </w:tcPr>
          <w:p w14:paraId="5D37DCE5" w14:textId="77777777" w:rsidR="005E25F7" w:rsidRPr="00394A5B" w:rsidRDefault="005E25F7" w:rsidP="00BD6245">
            <w:pPr>
              <w:pStyle w:val="TableRowText"/>
            </w:pPr>
            <w:r w:rsidRPr="00394A5B">
              <w:t>Denbighshire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22178E" w14:textId="332B0FC5" w:rsidR="005E25F7" w:rsidRPr="00394A5B" w:rsidRDefault="005E25F7" w:rsidP="00BD6245">
            <w:pPr>
              <w:pStyle w:val="TableText"/>
            </w:pPr>
            <w:r w:rsidRPr="00394A5B">
              <w:t xml:space="preserve">          77,170 </w:t>
            </w:r>
          </w:p>
        </w:tc>
      </w:tr>
      <w:tr w:rsidR="00394A5B" w:rsidRPr="00394A5B" w14:paraId="79D337CF" w14:textId="77777777" w:rsidTr="001E4877">
        <w:tc>
          <w:tcPr>
            <w:tcW w:w="6350" w:type="dxa"/>
          </w:tcPr>
          <w:p w14:paraId="117E6F65" w14:textId="77777777" w:rsidR="005E25F7" w:rsidRPr="00394A5B" w:rsidRDefault="005E25F7" w:rsidP="00BD6245">
            <w:pPr>
              <w:pStyle w:val="TableRowText"/>
            </w:pPr>
            <w:r w:rsidRPr="00394A5B">
              <w:t>Flintshire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84202D" w14:textId="1608C9B7" w:rsidR="005E25F7" w:rsidRPr="00394A5B" w:rsidRDefault="005E25F7" w:rsidP="00BD6245">
            <w:pPr>
              <w:pStyle w:val="TableText"/>
            </w:pPr>
            <w:r w:rsidRPr="00394A5B">
              <w:t xml:space="preserve">        124,600 </w:t>
            </w:r>
          </w:p>
        </w:tc>
      </w:tr>
      <w:tr w:rsidR="00394A5B" w:rsidRPr="00394A5B" w14:paraId="3A482365" w14:textId="77777777" w:rsidTr="001E4877">
        <w:tc>
          <w:tcPr>
            <w:tcW w:w="6350" w:type="dxa"/>
          </w:tcPr>
          <w:p w14:paraId="3710FBC2" w14:textId="77777777" w:rsidR="005E25F7" w:rsidRPr="00394A5B" w:rsidRDefault="005E25F7" w:rsidP="00BD6245">
            <w:pPr>
              <w:pStyle w:val="TableRowText"/>
            </w:pPr>
            <w:r w:rsidRPr="00394A5B">
              <w:t>Wrexham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97092F" w14:textId="6A2F4074" w:rsidR="005E25F7" w:rsidRPr="00394A5B" w:rsidRDefault="005E25F7" w:rsidP="00BD6245">
            <w:pPr>
              <w:pStyle w:val="TableText"/>
            </w:pPr>
            <w:r w:rsidRPr="00394A5B">
              <w:t xml:space="preserve">        107,100 </w:t>
            </w:r>
          </w:p>
        </w:tc>
      </w:tr>
      <w:tr w:rsidR="00394A5B" w:rsidRPr="00394A5B" w14:paraId="3F439BAE" w14:textId="77777777" w:rsidTr="001E4877">
        <w:tc>
          <w:tcPr>
            <w:tcW w:w="6350" w:type="dxa"/>
          </w:tcPr>
          <w:p w14:paraId="7C82B2ED" w14:textId="77777777" w:rsidR="005E25F7" w:rsidRPr="00394A5B" w:rsidRDefault="005E25F7" w:rsidP="00BD6245">
            <w:pPr>
              <w:pStyle w:val="TableRowText"/>
            </w:pPr>
            <w:r w:rsidRPr="00394A5B">
              <w:t>Powys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173B1D" w14:textId="31C88D37" w:rsidR="005E25F7" w:rsidRPr="00394A5B" w:rsidRDefault="005E25F7" w:rsidP="00BD6245">
            <w:pPr>
              <w:pStyle w:val="TableText"/>
            </w:pPr>
            <w:r w:rsidRPr="00394A5B">
              <w:t xml:space="preserve">        109,200 </w:t>
            </w:r>
          </w:p>
        </w:tc>
      </w:tr>
      <w:tr w:rsidR="00394A5B" w:rsidRPr="00394A5B" w14:paraId="700A9310" w14:textId="77777777" w:rsidTr="001E4877">
        <w:tc>
          <w:tcPr>
            <w:tcW w:w="6350" w:type="dxa"/>
          </w:tcPr>
          <w:p w14:paraId="1FB83B61" w14:textId="77777777" w:rsidR="005E25F7" w:rsidRPr="00394A5B" w:rsidRDefault="005E25F7" w:rsidP="00BD6245">
            <w:pPr>
              <w:pStyle w:val="TableRowText"/>
            </w:pPr>
            <w:r w:rsidRPr="00394A5B">
              <w:t>Ceredigion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CAB18E" w14:textId="75DE401C" w:rsidR="005E25F7" w:rsidRPr="00394A5B" w:rsidRDefault="005E25F7" w:rsidP="00BD6245">
            <w:pPr>
              <w:pStyle w:val="TableText"/>
            </w:pPr>
            <w:r w:rsidRPr="00394A5B">
              <w:t xml:space="preserve">          60,660 </w:t>
            </w:r>
          </w:p>
        </w:tc>
      </w:tr>
      <w:tr w:rsidR="00394A5B" w:rsidRPr="00394A5B" w14:paraId="19459EC1" w14:textId="77777777" w:rsidTr="001E4877">
        <w:tc>
          <w:tcPr>
            <w:tcW w:w="6350" w:type="dxa"/>
          </w:tcPr>
          <w:p w14:paraId="60B8BE07" w14:textId="77777777" w:rsidR="005E25F7" w:rsidRPr="00394A5B" w:rsidRDefault="005E25F7" w:rsidP="00BD6245">
            <w:pPr>
              <w:pStyle w:val="TableRowText"/>
            </w:pPr>
            <w:r w:rsidRPr="00394A5B">
              <w:t>Pembrokeshire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5EFE11" w14:textId="6A4E56CC" w:rsidR="005E25F7" w:rsidRPr="00394A5B" w:rsidRDefault="005E25F7" w:rsidP="00BD6245">
            <w:pPr>
              <w:pStyle w:val="TableText"/>
            </w:pPr>
            <w:r w:rsidRPr="00394A5B">
              <w:t xml:space="preserve">        102,700 </w:t>
            </w:r>
          </w:p>
        </w:tc>
      </w:tr>
      <w:tr w:rsidR="00394A5B" w:rsidRPr="00394A5B" w14:paraId="727543C9" w14:textId="77777777" w:rsidTr="001E4877">
        <w:tc>
          <w:tcPr>
            <w:tcW w:w="6350" w:type="dxa"/>
          </w:tcPr>
          <w:p w14:paraId="1EE81E05" w14:textId="77777777" w:rsidR="005E25F7" w:rsidRPr="00394A5B" w:rsidRDefault="005E25F7" w:rsidP="00BD6245">
            <w:pPr>
              <w:pStyle w:val="TableRowText"/>
            </w:pPr>
            <w:r w:rsidRPr="00394A5B">
              <w:t>Carmarthenshire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D4595E" w14:textId="5A64CE36" w:rsidR="005E25F7" w:rsidRPr="00394A5B" w:rsidRDefault="005E25F7" w:rsidP="00BD6245">
            <w:pPr>
              <w:pStyle w:val="TableText"/>
            </w:pPr>
            <w:r w:rsidRPr="00394A5B">
              <w:t xml:space="preserve">        152,800 </w:t>
            </w:r>
          </w:p>
        </w:tc>
      </w:tr>
      <w:tr w:rsidR="00394A5B" w:rsidRPr="00394A5B" w14:paraId="3424F90A" w14:textId="77777777" w:rsidTr="001E4877">
        <w:tc>
          <w:tcPr>
            <w:tcW w:w="6350" w:type="dxa"/>
          </w:tcPr>
          <w:p w14:paraId="17B671A7" w14:textId="77777777" w:rsidR="005E25F7" w:rsidRPr="00394A5B" w:rsidRDefault="005E25F7" w:rsidP="00BD6245">
            <w:pPr>
              <w:pStyle w:val="TableRowText"/>
            </w:pPr>
            <w:r w:rsidRPr="00394A5B">
              <w:t>Swansea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32E26B" w14:textId="6847E25A" w:rsidR="005E25F7" w:rsidRPr="00394A5B" w:rsidRDefault="005E25F7" w:rsidP="00BD6245">
            <w:pPr>
              <w:pStyle w:val="TableText"/>
            </w:pPr>
            <w:r w:rsidRPr="00394A5B">
              <w:t xml:space="preserve">        199,700 </w:t>
            </w:r>
          </w:p>
        </w:tc>
      </w:tr>
      <w:tr w:rsidR="00394A5B" w:rsidRPr="00394A5B" w14:paraId="70BB0137" w14:textId="77777777" w:rsidTr="001E4877">
        <w:tc>
          <w:tcPr>
            <w:tcW w:w="6350" w:type="dxa"/>
          </w:tcPr>
          <w:p w14:paraId="0972CA21" w14:textId="77777777" w:rsidR="005E25F7" w:rsidRPr="00394A5B" w:rsidRDefault="005E25F7" w:rsidP="00BD6245">
            <w:pPr>
              <w:pStyle w:val="TableRowText"/>
            </w:pPr>
            <w:r w:rsidRPr="00394A5B">
              <w:t>Neath Port Talbot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C11122" w14:textId="28C396C0" w:rsidR="005E25F7" w:rsidRPr="00394A5B" w:rsidRDefault="005E25F7" w:rsidP="00BD6245">
            <w:pPr>
              <w:pStyle w:val="TableText"/>
            </w:pPr>
            <w:r w:rsidRPr="00394A5B">
              <w:t xml:space="preserve">        116,300 </w:t>
            </w:r>
          </w:p>
        </w:tc>
      </w:tr>
      <w:tr w:rsidR="00394A5B" w:rsidRPr="00394A5B" w14:paraId="145E8E32" w14:textId="77777777" w:rsidTr="001E4877">
        <w:tc>
          <w:tcPr>
            <w:tcW w:w="6350" w:type="dxa"/>
          </w:tcPr>
          <w:p w14:paraId="512AA034" w14:textId="77777777" w:rsidR="005E25F7" w:rsidRPr="00394A5B" w:rsidRDefault="005E25F7" w:rsidP="00BD6245">
            <w:pPr>
              <w:pStyle w:val="TableRowText"/>
            </w:pPr>
            <w:r w:rsidRPr="00394A5B">
              <w:t>Bridgend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50C33B" w14:textId="727B077C" w:rsidR="005E25F7" w:rsidRPr="00394A5B" w:rsidRDefault="005E25F7" w:rsidP="00BD6245">
            <w:pPr>
              <w:pStyle w:val="TableText"/>
            </w:pPr>
            <w:r w:rsidRPr="00394A5B">
              <w:t xml:space="preserve">        118,200 </w:t>
            </w:r>
          </w:p>
        </w:tc>
      </w:tr>
      <w:tr w:rsidR="00394A5B" w:rsidRPr="00394A5B" w14:paraId="114828C5" w14:textId="77777777" w:rsidTr="001E4877">
        <w:trPr>
          <w:trHeight w:val="149"/>
        </w:trPr>
        <w:tc>
          <w:tcPr>
            <w:tcW w:w="6350" w:type="dxa"/>
          </w:tcPr>
          <w:p w14:paraId="0A81CD0A" w14:textId="061FEABB" w:rsidR="005E25F7" w:rsidRPr="00394A5B" w:rsidRDefault="00394A5B" w:rsidP="00BD6245">
            <w:pPr>
              <w:pStyle w:val="TableRowText"/>
            </w:pPr>
            <w:r>
              <w:t>The </w:t>
            </w:r>
            <w:r w:rsidR="005E25F7" w:rsidRPr="00394A5B">
              <w:t>Vale of Glamorgan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A3A6F1" w14:textId="74DB01AD" w:rsidR="005E25F7" w:rsidRPr="00394A5B" w:rsidRDefault="005E25F7" w:rsidP="00BD6245">
            <w:pPr>
              <w:pStyle w:val="TableText"/>
            </w:pPr>
            <w:r w:rsidRPr="00394A5B">
              <w:t xml:space="preserve">        107,400 </w:t>
            </w:r>
          </w:p>
        </w:tc>
      </w:tr>
      <w:tr w:rsidR="00394A5B" w:rsidRPr="00394A5B" w14:paraId="18590919" w14:textId="77777777" w:rsidTr="001E4877">
        <w:tc>
          <w:tcPr>
            <w:tcW w:w="6350" w:type="dxa"/>
          </w:tcPr>
          <w:p w14:paraId="1850D068" w14:textId="77777777" w:rsidR="005E25F7" w:rsidRPr="00394A5B" w:rsidRDefault="005E25F7" w:rsidP="00BD6245">
            <w:pPr>
              <w:pStyle w:val="TableRowText"/>
            </w:pPr>
            <w:r w:rsidRPr="00394A5B">
              <w:t>Rhondda Cynon Taf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57DA27" w14:textId="10DC3DC4" w:rsidR="005E25F7" w:rsidRPr="00394A5B" w:rsidRDefault="005E25F7" w:rsidP="00BD6245">
            <w:pPr>
              <w:pStyle w:val="TableText"/>
            </w:pPr>
            <w:r w:rsidRPr="00394A5B">
              <w:t xml:space="preserve">        191,800 </w:t>
            </w:r>
          </w:p>
        </w:tc>
      </w:tr>
      <w:tr w:rsidR="00394A5B" w:rsidRPr="00394A5B" w14:paraId="04CD27CB" w14:textId="77777777" w:rsidTr="001E4877">
        <w:tc>
          <w:tcPr>
            <w:tcW w:w="6350" w:type="dxa"/>
          </w:tcPr>
          <w:p w14:paraId="2ABED289" w14:textId="77777777" w:rsidR="005E25F7" w:rsidRPr="00394A5B" w:rsidRDefault="005E25F7" w:rsidP="00BD6245">
            <w:pPr>
              <w:pStyle w:val="TableRowText"/>
            </w:pPr>
            <w:r w:rsidRPr="00394A5B">
              <w:t>Merthyr Tydfil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9F8C10" w14:textId="6C3A3BAD" w:rsidR="005E25F7" w:rsidRPr="00394A5B" w:rsidRDefault="005E25F7" w:rsidP="00BD6245">
            <w:pPr>
              <w:pStyle w:val="TableText"/>
            </w:pPr>
            <w:r w:rsidRPr="00394A5B">
              <w:t xml:space="preserve">          47,540 </w:t>
            </w:r>
          </w:p>
        </w:tc>
      </w:tr>
      <w:tr w:rsidR="00394A5B" w:rsidRPr="00394A5B" w14:paraId="4EFF689A" w14:textId="77777777" w:rsidTr="001E4877">
        <w:tc>
          <w:tcPr>
            <w:tcW w:w="6350" w:type="dxa"/>
          </w:tcPr>
          <w:p w14:paraId="4D7C5277" w14:textId="77777777" w:rsidR="005E25F7" w:rsidRPr="00394A5B" w:rsidRDefault="005E25F7" w:rsidP="00BD6245">
            <w:pPr>
              <w:pStyle w:val="TableRowText"/>
            </w:pPr>
            <w:r w:rsidRPr="00394A5B">
              <w:t>Caerphilly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747027" w14:textId="111053E3" w:rsidR="005E25F7" w:rsidRPr="00394A5B" w:rsidRDefault="005E25F7" w:rsidP="00BD6245">
            <w:pPr>
              <w:pStyle w:val="TableText"/>
            </w:pPr>
            <w:r w:rsidRPr="00394A5B">
              <w:t xml:space="preserve">        144,100 </w:t>
            </w:r>
          </w:p>
        </w:tc>
      </w:tr>
      <w:tr w:rsidR="00394A5B" w:rsidRPr="00394A5B" w14:paraId="679D477B" w14:textId="77777777" w:rsidTr="001E4877">
        <w:tc>
          <w:tcPr>
            <w:tcW w:w="6350" w:type="dxa"/>
          </w:tcPr>
          <w:p w14:paraId="375CAD05" w14:textId="77777777" w:rsidR="005E25F7" w:rsidRPr="00394A5B" w:rsidRDefault="005E25F7" w:rsidP="00BD6245">
            <w:pPr>
              <w:pStyle w:val="TableRowText"/>
            </w:pPr>
            <w:r w:rsidRPr="00394A5B">
              <w:t>Blaenau Gwent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6660D2" w14:textId="3A6EDEA4" w:rsidR="005E25F7" w:rsidRPr="00394A5B" w:rsidRDefault="005E25F7" w:rsidP="00BD6245">
            <w:pPr>
              <w:pStyle w:val="TableText"/>
            </w:pPr>
            <w:r w:rsidRPr="00394A5B">
              <w:t xml:space="preserve">          56,400 </w:t>
            </w:r>
          </w:p>
        </w:tc>
      </w:tr>
      <w:tr w:rsidR="00394A5B" w:rsidRPr="00394A5B" w14:paraId="34914809" w14:textId="77777777" w:rsidTr="001E4877">
        <w:tc>
          <w:tcPr>
            <w:tcW w:w="6350" w:type="dxa"/>
          </w:tcPr>
          <w:p w14:paraId="17CC28CE" w14:textId="77777777" w:rsidR="005E25F7" w:rsidRPr="00394A5B" w:rsidRDefault="005E25F7" w:rsidP="00BD6245">
            <w:pPr>
              <w:pStyle w:val="TableRowText"/>
            </w:pPr>
            <w:r w:rsidRPr="00394A5B">
              <w:t>Torfaen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4628A0" w14:textId="4A6015BD" w:rsidR="005E25F7" w:rsidRPr="00394A5B" w:rsidRDefault="005E25F7" w:rsidP="00BD6245">
            <w:pPr>
              <w:pStyle w:val="TableText"/>
            </w:pPr>
            <w:r w:rsidRPr="00394A5B">
              <w:t xml:space="preserve">          75,370 </w:t>
            </w:r>
          </w:p>
        </w:tc>
      </w:tr>
      <w:tr w:rsidR="00394A5B" w:rsidRPr="00394A5B" w14:paraId="6026A97D" w14:textId="77777777" w:rsidTr="001E4877">
        <w:tc>
          <w:tcPr>
            <w:tcW w:w="6350" w:type="dxa"/>
          </w:tcPr>
          <w:p w14:paraId="448546CE" w14:textId="77777777" w:rsidR="005E25F7" w:rsidRPr="00394A5B" w:rsidRDefault="005E25F7" w:rsidP="00BD6245">
            <w:pPr>
              <w:pStyle w:val="TableRowText"/>
            </w:pPr>
            <w:r w:rsidRPr="00394A5B">
              <w:t>Monmouthshire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FA15E4" w14:textId="632EDD88" w:rsidR="005E25F7" w:rsidRPr="00394A5B" w:rsidRDefault="005E25F7" w:rsidP="00BD6245">
            <w:pPr>
              <w:pStyle w:val="TableText"/>
            </w:pPr>
            <w:r w:rsidRPr="00394A5B">
              <w:t xml:space="preserve">          77,840 </w:t>
            </w:r>
          </w:p>
        </w:tc>
      </w:tr>
      <w:tr w:rsidR="00394A5B" w:rsidRPr="00394A5B" w14:paraId="20810A49" w14:textId="77777777" w:rsidTr="001E4877">
        <w:tc>
          <w:tcPr>
            <w:tcW w:w="6350" w:type="dxa"/>
            <w:tcBorders>
              <w:bottom w:val="nil"/>
            </w:tcBorders>
          </w:tcPr>
          <w:p w14:paraId="4640FC32" w14:textId="77777777" w:rsidR="005E25F7" w:rsidRPr="00394A5B" w:rsidRDefault="005E25F7" w:rsidP="00BD6245">
            <w:pPr>
              <w:pStyle w:val="TableRowText"/>
            </w:pPr>
            <w:r w:rsidRPr="00394A5B">
              <w:t>Newport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17F78F" w14:textId="17F59D80" w:rsidR="005E25F7" w:rsidRPr="00394A5B" w:rsidRDefault="005E25F7" w:rsidP="00BD6245">
            <w:pPr>
              <w:pStyle w:val="TableText"/>
            </w:pPr>
            <w:r w:rsidRPr="00394A5B">
              <w:t xml:space="preserve">        120,900 </w:t>
            </w:r>
          </w:p>
        </w:tc>
      </w:tr>
      <w:tr w:rsidR="00394A5B" w:rsidRPr="00394A5B" w14:paraId="512D6DD2" w14:textId="77777777" w:rsidTr="001E4877">
        <w:tc>
          <w:tcPr>
            <w:tcW w:w="6350" w:type="dxa"/>
            <w:tcBorders>
              <w:top w:val="nil"/>
              <w:bottom w:val="single" w:sz="4" w:space="0" w:color="auto"/>
            </w:tcBorders>
          </w:tcPr>
          <w:p w14:paraId="11744420" w14:textId="77777777" w:rsidR="005E25F7" w:rsidRPr="00394A5B" w:rsidRDefault="005E25F7" w:rsidP="00BD6245">
            <w:pPr>
              <w:pStyle w:val="TableRowText"/>
            </w:pPr>
            <w:r w:rsidRPr="00394A5B">
              <w:t>Cardiff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663C8B" w14:textId="44A7EAFA" w:rsidR="005E25F7" w:rsidRPr="00394A5B" w:rsidRDefault="005E25F7" w:rsidP="00BD6245">
            <w:pPr>
              <w:pStyle w:val="TableText"/>
            </w:pPr>
            <w:r w:rsidRPr="00394A5B">
              <w:t xml:space="preserve">        293,800 </w:t>
            </w:r>
          </w:p>
        </w:tc>
      </w:tr>
      <w:tr w:rsidR="00394A5B" w:rsidRPr="00394A5B" w14:paraId="58CE80D9" w14:textId="77777777" w:rsidTr="001E4877">
        <w:trPr>
          <w:cantSplit/>
        </w:trPr>
        <w:tc>
          <w:tcPr>
            <w:tcW w:w="6350" w:type="dxa"/>
            <w:tcBorders>
              <w:top w:val="single" w:sz="4" w:space="0" w:color="auto"/>
            </w:tcBorders>
          </w:tcPr>
          <w:p w14:paraId="65814A49" w14:textId="77777777" w:rsidR="005E25F7" w:rsidRPr="00394A5B" w:rsidRDefault="005E25F7" w:rsidP="00BD6245">
            <w:pPr>
              <w:pStyle w:val="TableRowText"/>
              <w:rPr>
                <w:b/>
                <w:i/>
              </w:rPr>
            </w:pPr>
            <w:r w:rsidRPr="00394A5B">
              <w:rPr>
                <w:b/>
                <w:i/>
              </w:rPr>
              <w:t xml:space="preserve">Wales total 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0BB93F" w14:textId="3E15EBEC" w:rsidR="005E25F7" w:rsidRPr="00394A5B" w:rsidRDefault="005E25F7" w:rsidP="00BD6245">
            <w:pPr>
              <w:pStyle w:val="TableText"/>
              <w:rPr>
                <w:b/>
                <w:bCs/>
              </w:rPr>
            </w:pPr>
            <w:r w:rsidRPr="00394A5B">
              <w:rPr>
                <w:b/>
                <w:bCs/>
              </w:rPr>
              <w:t xml:space="preserve">     2,540,000 </w:t>
            </w:r>
          </w:p>
        </w:tc>
      </w:tr>
    </w:tbl>
    <w:p w14:paraId="4B1B3052" w14:textId="1C6ECD71" w:rsidR="00076E09" w:rsidRPr="00394A5B" w:rsidRDefault="00FE1B0A" w:rsidP="00257F83">
      <w:pPr>
        <w:pStyle w:val="TableNotes"/>
      </w:pPr>
      <w:r w:rsidRPr="00394A5B">
        <w:t>Note:</w:t>
      </w:r>
      <w:r w:rsidR="00236A4D" w:rsidRPr="00394A5B">
        <w:t xml:space="preserve"> </w:t>
      </w:r>
      <w:r w:rsidR="00493EAD" w:rsidRPr="00394A5B">
        <w:t xml:space="preserve">Figures shown in </w:t>
      </w:r>
      <w:r w:rsidR="00685827">
        <w:t>the </w:t>
      </w:r>
      <w:r w:rsidR="00493EAD" w:rsidRPr="00394A5B">
        <w:t xml:space="preserve">above table are rounded </w:t>
      </w:r>
      <w:r w:rsidR="00A146B5" w:rsidRPr="00394A5B">
        <w:t xml:space="preserve">to four significant figures </w:t>
      </w:r>
      <w:r w:rsidR="00493EAD" w:rsidRPr="00394A5B">
        <w:t>of those actually used</w:t>
      </w:r>
      <w:r w:rsidRPr="00394A5B">
        <w:t xml:space="preserve"> and, therefore, </w:t>
      </w:r>
      <w:r w:rsidR="00685827">
        <w:t>the </w:t>
      </w:r>
      <w:r w:rsidRPr="00394A5B">
        <w:t xml:space="preserve">sum of </w:t>
      </w:r>
      <w:r w:rsidR="00685827">
        <w:t>the </w:t>
      </w:r>
      <w:r w:rsidRPr="00394A5B">
        <w:t xml:space="preserve">population for all </w:t>
      </w:r>
      <w:r w:rsidR="00685827">
        <w:t>the </w:t>
      </w:r>
      <w:r w:rsidRPr="00394A5B">
        <w:t xml:space="preserve">county and county borough councils may not add to </w:t>
      </w:r>
      <w:r w:rsidR="00685827">
        <w:t>the </w:t>
      </w:r>
      <w:r w:rsidRPr="00394A5B">
        <w:t>Wales total</w:t>
      </w:r>
      <w:bookmarkStart w:id="30" w:name="_Toc434935720"/>
      <w:bookmarkStart w:id="31" w:name="_Toc434935974"/>
      <w:bookmarkStart w:id="32" w:name="_Toc435431403"/>
      <w:bookmarkStart w:id="33" w:name="_Toc58999028"/>
      <w:r w:rsidR="00076E09" w:rsidRPr="00394A5B">
        <w:br w:type="page"/>
      </w:r>
    </w:p>
    <w:p w14:paraId="15C5BD47" w14:textId="6FB1C16D" w:rsidR="00664DC6" w:rsidRPr="00394A5B" w:rsidRDefault="00F9177B" w:rsidP="00F87EC8">
      <w:pPr>
        <w:pStyle w:val="Heading2"/>
      </w:pPr>
      <w:r>
        <w:t>Chapter </w:t>
      </w:r>
      <w:r w:rsidR="00664DC6" w:rsidRPr="00394A5B">
        <w:t>5</w:t>
      </w:r>
      <w:r w:rsidR="00A60AFE" w:rsidRPr="00394A5B">
        <w:t xml:space="preserve">: </w:t>
      </w:r>
      <w:r w:rsidR="00664DC6" w:rsidRPr="00394A5B">
        <w:t xml:space="preserve">Calculation of </w:t>
      </w:r>
      <w:r w:rsidR="00685827">
        <w:t>the </w:t>
      </w:r>
      <w:r w:rsidR="00664DC6" w:rsidRPr="00394A5B">
        <w:t xml:space="preserve">Standard Spending Assessment for each </w:t>
      </w:r>
      <w:r w:rsidR="00CB2EF6" w:rsidRPr="00394A5B">
        <w:t>C</w:t>
      </w:r>
      <w:r w:rsidR="00664DC6" w:rsidRPr="00394A5B">
        <w:t>ouncil</w:t>
      </w:r>
      <w:bookmarkEnd w:id="30"/>
      <w:bookmarkEnd w:id="31"/>
      <w:bookmarkEnd w:id="32"/>
      <w:bookmarkEnd w:id="33"/>
    </w:p>
    <w:p w14:paraId="5DFB0A15" w14:textId="3851A454" w:rsidR="00664DC6" w:rsidRPr="00394A5B" w:rsidRDefault="00664DC6" w:rsidP="00885774">
      <w:pPr>
        <w:pStyle w:val="Numbering5"/>
      </w:pPr>
      <w:r w:rsidRPr="00394A5B">
        <w:t xml:space="preserve">No part of </w:t>
      </w:r>
      <w:r w:rsidR="00685827">
        <w:t>the </w:t>
      </w:r>
      <w:r w:rsidRPr="00394A5B">
        <w:t xml:space="preserve">RSG for </w:t>
      </w:r>
      <w:r w:rsidR="00CB2EF6" w:rsidRPr="00394A5B">
        <w:t>C</w:t>
      </w:r>
      <w:r w:rsidRPr="00394A5B">
        <w:t>ouncils is earmarked for particular services</w:t>
      </w:r>
      <w:r w:rsidR="00885552" w:rsidRPr="00394A5B">
        <w:t xml:space="preserve">.  </w:t>
      </w:r>
      <w:r w:rsidR="00394A5B">
        <w:t>The </w:t>
      </w:r>
      <w:r w:rsidRPr="00394A5B">
        <w:t xml:space="preserve">relevant tables referred to in this section do not form a basis for calculating a notional allocation of either SSA or grant to individual </w:t>
      </w:r>
      <w:r w:rsidR="00CB2EF6" w:rsidRPr="00394A5B">
        <w:t>C</w:t>
      </w:r>
      <w:r w:rsidRPr="00394A5B">
        <w:t>ouncils for particular services.</w:t>
      </w:r>
    </w:p>
    <w:p w14:paraId="699DE3B9" w14:textId="174253FC" w:rsidR="00664DC6" w:rsidRPr="00394A5B" w:rsidRDefault="00394A5B" w:rsidP="00885774">
      <w:pPr>
        <w:pStyle w:val="Numbering5"/>
      </w:pPr>
      <w:r>
        <w:t>The </w:t>
      </w:r>
      <w:r w:rsidR="00664DC6" w:rsidRPr="00394A5B">
        <w:t xml:space="preserve">SSA of each </w:t>
      </w:r>
      <w:r w:rsidR="00CB2EF6" w:rsidRPr="00394A5B">
        <w:t>C</w:t>
      </w:r>
      <w:r w:rsidR="00664DC6" w:rsidRPr="00394A5B">
        <w:t xml:space="preserve">ouncil is determined following </w:t>
      </w:r>
      <w:r w:rsidR="00685827">
        <w:t>the </w:t>
      </w:r>
      <w:r w:rsidR="00664DC6" w:rsidRPr="00394A5B">
        <w:t xml:space="preserve">methodology recommended by </w:t>
      </w:r>
      <w:r w:rsidR="00685827">
        <w:t>the </w:t>
      </w:r>
      <w:r w:rsidR="00664DC6" w:rsidRPr="00394A5B">
        <w:t>Distribution Sub</w:t>
      </w:r>
      <w:r w:rsidR="00A60AFE" w:rsidRPr="00394A5B">
        <w:t xml:space="preserve"> </w:t>
      </w:r>
      <w:r w:rsidR="00664DC6" w:rsidRPr="00394A5B">
        <w:t>Group (DSG)</w:t>
      </w:r>
      <w:r w:rsidR="00AB607C" w:rsidRPr="00394A5B">
        <w:t>,</w:t>
      </w:r>
      <w:r w:rsidR="00664DC6" w:rsidRPr="00394A5B">
        <w:t xml:space="preserve"> </w:t>
      </w:r>
      <w:r w:rsidR="00AB607C" w:rsidRPr="00394A5B">
        <w:t xml:space="preserve">a subgroup of </w:t>
      </w:r>
      <w:r w:rsidR="00685827">
        <w:t>the </w:t>
      </w:r>
      <w:r w:rsidR="00664DC6" w:rsidRPr="00394A5B">
        <w:t>Partnership Council</w:t>
      </w:r>
      <w:r w:rsidR="00B0496A" w:rsidRPr="00394A5B">
        <w:t xml:space="preserve"> for Wales</w:t>
      </w:r>
      <w:r w:rsidR="00A60AFE" w:rsidRPr="00394A5B">
        <w:t>:</w:t>
      </w:r>
    </w:p>
    <w:p w14:paraId="5EC9965F" w14:textId="2404DFB8" w:rsidR="00664DC6" w:rsidRPr="00394A5B" w:rsidRDefault="00685827" w:rsidP="00885774">
      <w:pPr>
        <w:widowControl w:val="0"/>
        <w:numPr>
          <w:ilvl w:val="0"/>
          <w:numId w:val="9"/>
        </w:numPr>
        <w:ind w:left="964" w:hanging="397"/>
        <w:rPr>
          <w:rFonts w:cs="Arial"/>
        </w:rPr>
      </w:pPr>
      <w:r>
        <w:rPr>
          <w:rFonts w:cs="Arial"/>
        </w:rPr>
        <w:t>the </w:t>
      </w:r>
      <w:r w:rsidR="00664DC6" w:rsidRPr="00394A5B">
        <w:rPr>
          <w:rFonts w:cs="Arial"/>
        </w:rPr>
        <w:t>DSG methodology has identified a set of need indicators;</w:t>
      </w:r>
    </w:p>
    <w:p w14:paraId="769A95EC" w14:textId="671E8E77" w:rsidR="00664DC6" w:rsidRPr="00394A5B" w:rsidRDefault="00685827" w:rsidP="00885774">
      <w:pPr>
        <w:widowControl w:val="0"/>
        <w:numPr>
          <w:ilvl w:val="0"/>
          <w:numId w:val="9"/>
        </w:numPr>
        <w:ind w:left="964" w:hanging="397"/>
        <w:rPr>
          <w:rFonts w:cs="Arial"/>
        </w:rPr>
      </w:pPr>
      <w:r>
        <w:rPr>
          <w:rFonts w:cs="Arial"/>
        </w:rPr>
        <w:t>the </w:t>
      </w:r>
      <w:r w:rsidR="00664DC6" w:rsidRPr="00394A5B">
        <w:rPr>
          <w:rFonts w:cs="Arial"/>
        </w:rPr>
        <w:t xml:space="preserve">SSA units are those that are appropriate to apply to </w:t>
      </w:r>
      <w:r>
        <w:rPr>
          <w:rFonts w:cs="Arial"/>
        </w:rPr>
        <w:t>the </w:t>
      </w:r>
      <w:r w:rsidR="00664DC6" w:rsidRPr="00394A5B">
        <w:rPr>
          <w:rFonts w:cs="Arial"/>
        </w:rPr>
        <w:t xml:space="preserve">indicators given in </w:t>
      </w:r>
      <w:r>
        <w:rPr>
          <w:rFonts w:cs="Arial"/>
        </w:rPr>
        <w:t>the </w:t>
      </w:r>
      <w:r w:rsidR="00664DC6" w:rsidRPr="00394A5B">
        <w:rPr>
          <w:rFonts w:cs="Arial"/>
        </w:rPr>
        <w:t xml:space="preserve">table, following </w:t>
      </w:r>
      <w:r>
        <w:rPr>
          <w:rFonts w:cs="Arial"/>
        </w:rPr>
        <w:t>the </w:t>
      </w:r>
      <w:r w:rsidR="00664DC6" w:rsidRPr="00394A5B">
        <w:rPr>
          <w:rFonts w:cs="Arial"/>
        </w:rPr>
        <w:t xml:space="preserve">DSG methodology; </w:t>
      </w:r>
      <w:r>
        <w:rPr>
          <w:rFonts w:cs="Arial"/>
        </w:rPr>
        <w:t>the </w:t>
      </w:r>
      <w:r w:rsidR="00664DC6" w:rsidRPr="00394A5B">
        <w:rPr>
          <w:rFonts w:cs="Arial"/>
        </w:rPr>
        <w:t xml:space="preserve">size of </w:t>
      </w:r>
      <w:r>
        <w:rPr>
          <w:rFonts w:cs="Arial"/>
        </w:rPr>
        <w:t>the </w:t>
      </w:r>
      <w:r w:rsidR="00664DC6" w:rsidRPr="00394A5B">
        <w:rPr>
          <w:rFonts w:cs="Arial"/>
        </w:rPr>
        <w:t xml:space="preserve">unit gives an indication of </w:t>
      </w:r>
      <w:r>
        <w:rPr>
          <w:rFonts w:cs="Arial"/>
        </w:rPr>
        <w:t>the </w:t>
      </w:r>
      <w:r w:rsidR="00664DC6" w:rsidRPr="00394A5B">
        <w:rPr>
          <w:rFonts w:cs="Arial"/>
        </w:rPr>
        <w:t>appropriate level of spending associated with that indicator;</w:t>
      </w:r>
    </w:p>
    <w:p w14:paraId="23766FA7" w14:textId="7D6C9967" w:rsidR="00664DC6" w:rsidRPr="00394A5B" w:rsidRDefault="00664DC6" w:rsidP="00885774">
      <w:pPr>
        <w:widowControl w:val="0"/>
        <w:numPr>
          <w:ilvl w:val="0"/>
          <w:numId w:val="9"/>
        </w:numPr>
        <w:ind w:left="964" w:hanging="397"/>
        <w:rPr>
          <w:rFonts w:cs="Arial"/>
        </w:rPr>
      </w:pPr>
      <w:r w:rsidRPr="00394A5B">
        <w:rPr>
          <w:rFonts w:cs="Arial"/>
        </w:rPr>
        <w:t xml:space="preserve">each SSA unit shown alongside a need indicator is multiplied by </w:t>
      </w:r>
      <w:r w:rsidR="00685827">
        <w:rPr>
          <w:rFonts w:cs="Arial"/>
        </w:rPr>
        <w:t>the </w:t>
      </w:r>
      <w:r w:rsidRPr="00394A5B">
        <w:rPr>
          <w:rFonts w:cs="Arial"/>
        </w:rPr>
        <w:t>value of that need indicator;</w:t>
      </w:r>
    </w:p>
    <w:p w14:paraId="11A62952" w14:textId="0ACF4FB5" w:rsidR="00664DC6" w:rsidRPr="00394A5B" w:rsidRDefault="00685827" w:rsidP="00885774">
      <w:pPr>
        <w:widowControl w:val="0"/>
        <w:numPr>
          <w:ilvl w:val="0"/>
          <w:numId w:val="9"/>
        </w:numPr>
        <w:ind w:left="964" w:hanging="397"/>
        <w:rPr>
          <w:rFonts w:cs="Arial"/>
        </w:rPr>
      </w:pPr>
      <w:r>
        <w:rPr>
          <w:rFonts w:cs="Arial"/>
        </w:rPr>
        <w:t>the </w:t>
      </w:r>
      <w:r w:rsidR="00664DC6" w:rsidRPr="00394A5B">
        <w:rPr>
          <w:rFonts w:cs="Arial"/>
        </w:rPr>
        <w:t xml:space="preserve">sum of </w:t>
      </w:r>
      <w:r>
        <w:rPr>
          <w:rFonts w:cs="Arial"/>
        </w:rPr>
        <w:t>the </w:t>
      </w:r>
      <w:r w:rsidR="00664DC6" w:rsidRPr="00394A5B">
        <w:rPr>
          <w:rFonts w:cs="Arial"/>
        </w:rPr>
        <w:t xml:space="preserve">resulting figures, together with an amount for debt financing and boundary changes, comprises that </w:t>
      </w:r>
      <w:r w:rsidR="00CB2EF6" w:rsidRPr="00394A5B">
        <w:rPr>
          <w:rFonts w:cs="Arial"/>
        </w:rPr>
        <w:t>C</w:t>
      </w:r>
      <w:r w:rsidR="00664DC6" w:rsidRPr="00394A5B">
        <w:rPr>
          <w:rFonts w:cs="Arial"/>
        </w:rPr>
        <w:t>ouncil’s SSA</w:t>
      </w:r>
      <w:r w:rsidR="00885552" w:rsidRPr="00394A5B">
        <w:rPr>
          <w:rFonts w:cs="Arial"/>
        </w:rPr>
        <w:t xml:space="preserve">.  </w:t>
      </w:r>
    </w:p>
    <w:p w14:paraId="2E8BE57D" w14:textId="5D397421" w:rsidR="00664DC6" w:rsidRPr="00394A5B" w:rsidRDefault="00394A5B" w:rsidP="00685827">
      <w:pPr>
        <w:pStyle w:val="Numbering5"/>
      </w:pPr>
      <w:r>
        <w:t>The </w:t>
      </w:r>
      <w:r w:rsidR="00664DC6" w:rsidRPr="00394A5B">
        <w:t xml:space="preserve">indicators used to determine </w:t>
      </w:r>
      <w:r w:rsidR="00685827">
        <w:t>the </w:t>
      </w:r>
      <w:r w:rsidR="00664DC6" w:rsidRPr="00394A5B">
        <w:t xml:space="preserve">SSA for each </w:t>
      </w:r>
      <w:r w:rsidR="00CB2EF6" w:rsidRPr="00394A5B">
        <w:t>C</w:t>
      </w:r>
      <w:r w:rsidR="00664DC6" w:rsidRPr="00394A5B">
        <w:t xml:space="preserve">ouncil, and their definitions, are set out in </w:t>
      </w:r>
      <w:r w:rsidR="00F9177B">
        <w:t>Section </w:t>
      </w:r>
      <w:r w:rsidR="00664DC6" w:rsidRPr="00394A5B">
        <w:t>3, Annex 2</w:t>
      </w:r>
      <w:r w:rsidR="00885552" w:rsidRPr="00394A5B">
        <w:t>.</w:t>
      </w:r>
    </w:p>
    <w:p w14:paraId="52453190" w14:textId="0B209F1B" w:rsidR="00664DC6" w:rsidRPr="00394A5B" w:rsidRDefault="00394A5B" w:rsidP="00685827">
      <w:pPr>
        <w:pStyle w:val="Numbering5"/>
      </w:pPr>
      <w:r>
        <w:t>Table </w:t>
      </w:r>
      <w:r w:rsidR="00664DC6" w:rsidRPr="00394A5B">
        <w:t>4</w:t>
      </w:r>
      <w:r w:rsidR="00201D4D" w:rsidRPr="00394A5B">
        <w:t>, Annex 2</w:t>
      </w:r>
      <w:r w:rsidR="00664DC6" w:rsidRPr="00394A5B">
        <w:t xml:space="preserve"> sets out </w:t>
      </w:r>
      <w:r w:rsidR="00685827">
        <w:t>the </w:t>
      </w:r>
      <w:r w:rsidR="00664DC6" w:rsidRPr="00394A5B">
        <w:t xml:space="preserve">SSA determined for each </w:t>
      </w:r>
      <w:r w:rsidR="00CB2EF6" w:rsidRPr="00394A5B">
        <w:t>C</w:t>
      </w:r>
      <w:r w:rsidR="00664DC6" w:rsidRPr="00394A5B">
        <w:t>ouncil in Wales</w:t>
      </w:r>
      <w:r w:rsidR="00885552" w:rsidRPr="00394A5B">
        <w:t xml:space="preserve">.  </w:t>
      </w:r>
      <w:r>
        <w:t>The </w:t>
      </w:r>
      <w:r w:rsidR="00664DC6" w:rsidRPr="00394A5B">
        <w:t xml:space="preserve">SSA units in </w:t>
      </w:r>
      <w:r>
        <w:t>Table </w:t>
      </w:r>
      <w:r w:rsidR="00664DC6" w:rsidRPr="00394A5B">
        <w:t>1</w:t>
      </w:r>
      <w:r w:rsidR="00201D4D" w:rsidRPr="00394A5B">
        <w:t>, Annex 2</w:t>
      </w:r>
      <w:r w:rsidR="00664DC6" w:rsidRPr="00394A5B">
        <w:t xml:space="preserve"> have been rounded to </w:t>
      </w:r>
      <w:r w:rsidR="000042F4" w:rsidRPr="00394A5B">
        <w:t>three</w:t>
      </w:r>
      <w:r w:rsidR="00664DC6" w:rsidRPr="00394A5B">
        <w:t xml:space="preserve"> decimal places as appropriate (if </w:t>
      </w:r>
      <w:r w:rsidR="00685827">
        <w:t>the </w:t>
      </w:r>
      <w:r w:rsidR="000042F4" w:rsidRPr="00394A5B">
        <w:t>fourth</w:t>
      </w:r>
      <w:r w:rsidR="00664DC6" w:rsidRPr="00394A5B">
        <w:t xml:space="preserve"> decimal place ends between 1 and 4 </w:t>
      </w:r>
      <w:r w:rsidR="00685827">
        <w:t>the </w:t>
      </w:r>
      <w:r w:rsidR="00664DC6" w:rsidRPr="00394A5B">
        <w:t>figure is rounded downwards</w:t>
      </w:r>
      <w:r w:rsidR="009A671D" w:rsidRPr="00394A5B">
        <w:t>,</w:t>
      </w:r>
      <w:r w:rsidR="00664DC6" w:rsidRPr="00394A5B">
        <w:t xml:space="preserve"> otherwise rounded upwards)</w:t>
      </w:r>
      <w:r w:rsidR="00885552" w:rsidRPr="00394A5B">
        <w:t xml:space="preserve">.  </w:t>
      </w:r>
      <w:r w:rsidR="00664DC6" w:rsidRPr="00394A5B">
        <w:t xml:space="preserve">Therefore </w:t>
      </w:r>
      <w:r w:rsidR="00685827">
        <w:t>the </w:t>
      </w:r>
      <w:r w:rsidR="00664DC6" w:rsidRPr="00394A5B">
        <w:t xml:space="preserve">sum of </w:t>
      </w:r>
      <w:r w:rsidR="00685827">
        <w:t>the </w:t>
      </w:r>
      <w:r w:rsidR="00664DC6" w:rsidRPr="00394A5B">
        <w:t xml:space="preserve">values calculated using </w:t>
      </w:r>
      <w:r>
        <w:t>Table </w:t>
      </w:r>
      <w:r w:rsidR="00664DC6" w:rsidRPr="00394A5B">
        <w:t>1</w:t>
      </w:r>
      <w:r w:rsidR="00201D4D" w:rsidRPr="00394A5B">
        <w:t>, Annex 2</w:t>
      </w:r>
      <w:r w:rsidR="00664DC6" w:rsidRPr="00394A5B">
        <w:t xml:space="preserve">, when added to </w:t>
      </w:r>
      <w:r w:rsidR="00685827">
        <w:t>the </w:t>
      </w:r>
      <w:r w:rsidR="00664DC6" w:rsidRPr="00394A5B">
        <w:t xml:space="preserve">figures shown in </w:t>
      </w:r>
      <w:r>
        <w:t>Table </w:t>
      </w:r>
      <w:r w:rsidR="00664DC6" w:rsidRPr="00394A5B">
        <w:t>2</w:t>
      </w:r>
      <w:r w:rsidR="00201D4D" w:rsidRPr="00394A5B">
        <w:t>, Annex 2</w:t>
      </w:r>
      <w:r w:rsidR="00664DC6" w:rsidRPr="00394A5B">
        <w:t xml:space="preserve"> may not exactly equate with </w:t>
      </w:r>
      <w:r w:rsidR="00685827">
        <w:t>the </w:t>
      </w:r>
      <w:r w:rsidR="00664DC6" w:rsidRPr="00394A5B">
        <w:t xml:space="preserve">amounts determined in </w:t>
      </w:r>
      <w:r>
        <w:t>Table </w:t>
      </w:r>
      <w:r w:rsidR="00664DC6" w:rsidRPr="00394A5B">
        <w:t>4</w:t>
      </w:r>
      <w:r w:rsidR="00201D4D" w:rsidRPr="00394A5B">
        <w:t>, Annex 2</w:t>
      </w:r>
      <w:r w:rsidR="00664DC6" w:rsidRPr="00394A5B">
        <w:t>.</w:t>
      </w:r>
    </w:p>
    <w:p w14:paraId="50159114" w14:textId="77777777" w:rsidR="00664DC6" w:rsidRPr="00394A5B" w:rsidRDefault="00664DC6" w:rsidP="00A56F72">
      <w:pPr>
        <w:pStyle w:val="Heading1"/>
      </w:pPr>
      <w:r w:rsidRPr="00394A5B">
        <w:br w:type="page"/>
      </w:r>
      <w:bookmarkStart w:id="34" w:name="_Toc434935721"/>
      <w:bookmarkStart w:id="35" w:name="_Toc434935975"/>
      <w:bookmarkStart w:id="36" w:name="_Toc435431404"/>
      <w:bookmarkStart w:id="37" w:name="_Toc58999029"/>
      <w:bookmarkStart w:id="38" w:name="Section3"/>
      <w:r w:rsidRPr="00394A5B">
        <w:t>SECTION THREE - ANNEXES TO THE REPORT</w:t>
      </w:r>
      <w:bookmarkEnd w:id="34"/>
      <w:bookmarkEnd w:id="35"/>
      <w:bookmarkEnd w:id="36"/>
      <w:bookmarkEnd w:id="37"/>
      <w:bookmarkEnd w:id="38"/>
    </w:p>
    <w:p w14:paraId="666B9AEF" w14:textId="77777777" w:rsidR="00664DC6" w:rsidRPr="00394A5B" w:rsidRDefault="00664DC6" w:rsidP="00612E46">
      <w:pPr>
        <w:rPr>
          <w:rFonts w:cs="Arial"/>
          <w:sz w:val="28"/>
          <w:szCs w:val="28"/>
        </w:rPr>
      </w:pPr>
      <w:r w:rsidRPr="00394A5B">
        <w:rPr>
          <w:rFonts w:cs="Arial"/>
          <w:sz w:val="28"/>
          <w:szCs w:val="28"/>
        </w:rPr>
        <w:t>Annex 1</w:t>
      </w:r>
      <w:r w:rsidR="00BC6FD9" w:rsidRPr="00394A5B">
        <w:rPr>
          <w:rFonts w:cs="Arial"/>
          <w:sz w:val="28"/>
          <w:szCs w:val="28"/>
        </w:rPr>
        <w:t>:</w:t>
      </w:r>
      <w:r w:rsidRPr="00394A5B">
        <w:rPr>
          <w:rFonts w:cs="Arial"/>
          <w:sz w:val="28"/>
          <w:szCs w:val="28"/>
        </w:rPr>
        <w:tab/>
        <w:t xml:space="preserve">Amount of Revenue Support </w:t>
      </w:r>
      <w:r w:rsidR="00782621" w:rsidRPr="00394A5B">
        <w:rPr>
          <w:rFonts w:cs="Arial"/>
          <w:sz w:val="28"/>
          <w:szCs w:val="28"/>
        </w:rPr>
        <w:t xml:space="preserve">Grant </w:t>
      </w:r>
      <w:r w:rsidRPr="00394A5B">
        <w:rPr>
          <w:rFonts w:cs="Arial"/>
          <w:sz w:val="28"/>
          <w:szCs w:val="28"/>
        </w:rPr>
        <w:t>to be paid to Specified Bodies</w:t>
      </w:r>
    </w:p>
    <w:p w14:paraId="77DEC4AD" w14:textId="62D9D5E9" w:rsidR="00664DC6" w:rsidRPr="00394A5B" w:rsidRDefault="00664DC6" w:rsidP="00612E46">
      <w:pPr>
        <w:rPr>
          <w:rFonts w:cs="Arial"/>
          <w:sz w:val="28"/>
          <w:szCs w:val="28"/>
        </w:rPr>
      </w:pPr>
      <w:r w:rsidRPr="00394A5B">
        <w:rPr>
          <w:rFonts w:cs="Arial"/>
          <w:sz w:val="28"/>
          <w:szCs w:val="28"/>
        </w:rPr>
        <w:t>Annex 2</w:t>
      </w:r>
      <w:r w:rsidR="00BC6FD9" w:rsidRPr="00394A5B">
        <w:rPr>
          <w:rFonts w:cs="Arial"/>
          <w:sz w:val="28"/>
          <w:szCs w:val="28"/>
        </w:rPr>
        <w:t>:</w:t>
      </w:r>
      <w:r w:rsidR="00891503" w:rsidRPr="00394A5B">
        <w:rPr>
          <w:rFonts w:cs="Arial"/>
          <w:sz w:val="28"/>
          <w:szCs w:val="28"/>
        </w:rPr>
        <w:t xml:space="preserve"> </w:t>
      </w:r>
      <w:r w:rsidR="00891503" w:rsidRPr="00394A5B">
        <w:rPr>
          <w:rFonts w:cs="Arial"/>
          <w:sz w:val="28"/>
          <w:szCs w:val="28"/>
        </w:rPr>
        <w:tab/>
      </w:r>
      <w:r w:rsidRPr="00394A5B">
        <w:rPr>
          <w:rFonts w:cs="Arial"/>
          <w:sz w:val="28"/>
          <w:szCs w:val="28"/>
        </w:rPr>
        <w:t xml:space="preserve">Indicators used in </w:t>
      </w:r>
      <w:r w:rsidR="00685827">
        <w:rPr>
          <w:rFonts w:cs="Arial"/>
          <w:sz w:val="28"/>
          <w:szCs w:val="28"/>
        </w:rPr>
        <w:t>the </w:t>
      </w:r>
      <w:r w:rsidR="00782621" w:rsidRPr="00394A5B">
        <w:rPr>
          <w:rFonts w:cs="Arial"/>
          <w:sz w:val="28"/>
          <w:szCs w:val="28"/>
        </w:rPr>
        <w:t xml:space="preserve">Calculation </w:t>
      </w:r>
      <w:r w:rsidRPr="00394A5B">
        <w:rPr>
          <w:rFonts w:cs="Arial"/>
          <w:sz w:val="28"/>
          <w:szCs w:val="28"/>
        </w:rPr>
        <w:t xml:space="preserve">of </w:t>
      </w:r>
      <w:r w:rsidR="00782621" w:rsidRPr="00394A5B">
        <w:rPr>
          <w:rFonts w:cs="Arial"/>
          <w:sz w:val="28"/>
          <w:szCs w:val="28"/>
        </w:rPr>
        <w:t xml:space="preserve">Councils’ </w:t>
      </w:r>
      <w:r w:rsidRPr="00394A5B">
        <w:rPr>
          <w:rFonts w:cs="Arial"/>
          <w:sz w:val="28"/>
          <w:szCs w:val="28"/>
        </w:rPr>
        <w:t>Standard Spending Assessments</w:t>
      </w:r>
    </w:p>
    <w:p w14:paraId="0C9B887A" w14:textId="77777777" w:rsidR="00664DC6" w:rsidRPr="00394A5B" w:rsidRDefault="00664DC6" w:rsidP="00612E46">
      <w:pPr>
        <w:rPr>
          <w:rFonts w:cs="Arial"/>
          <w:sz w:val="28"/>
          <w:szCs w:val="28"/>
        </w:rPr>
      </w:pPr>
      <w:r w:rsidRPr="00394A5B">
        <w:rPr>
          <w:rFonts w:cs="Arial"/>
          <w:sz w:val="28"/>
          <w:szCs w:val="28"/>
        </w:rPr>
        <w:t>Annex 3</w:t>
      </w:r>
      <w:r w:rsidR="00BC6FD9" w:rsidRPr="00394A5B">
        <w:rPr>
          <w:rFonts w:cs="Arial"/>
          <w:sz w:val="28"/>
          <w:szCs w:val="28"/>
        </w:rPr>
        <w:t>:</w:t>
      </w:r>
      <w:r w:rsidR="00891503" w:rsidRPr="00394A5B">
        <w:rPr>
          <w:rFonts w:cs="Arial"/>
          <w:sz w:val="28"/>
          <w:szCs w:val="28"/>
        </w:rPr>
        <w:tab/>
      </w:r>
      <w:r w:rsidRPr="00394A5B">
        <w:rPr>
          <w:rFonts w:cs="Arial"/>
          <w:sz w:val="28"/>
          <w:szCs w:val="28"/>
        </w:rPr>
        <w:t>Glossary and Explanatory Notes</w:t>
      </w:r>
    </w:p>
    <w:p w14:paraId="3E658F9A" w14:textId="6DFA4AC9" w:rsidR="00664DC6" w:rsidRPr="00394A5B" w:rsidRDefault="00664DC6" w:rsidP="00612E46">
      <w:pPr>
        <w:rPr>
          <w:rFonts w:cs="Arial"/>
          <w:sz w:val="28"/>
          <w:szCs w:val="28"/>
        </w:rPr>
      </w:pPr>
      <w:r w:rsidRPr="00394A5B">
        <w:rPr>
          <w:rFonts w:cs="Arial"/>
          <w:sz w:val="28"/>
          <w:szCs w:val="28"/>
        </w:rPr>
        <w:t>Annex 4</w:t>
      </w:r>
      <w:r w:rsidR="00BC6FD9" w:rsidRPr="00394A5B">
        <w:rPr>
          <w:rFonts w:cs="Arial"/>
          <w:sz w:val="28"/>
          <w:szCs w:val="28"/>
        </w:rPr>
        <w:t>:</w:t>
      </w:r>
      <w:r w:rsidRPr="00394A5B">
        <w:rPr>
          <w:rFonts w:cs="Arial"/>
          <w:sz w:val="28"/>
          <w:szCs w:val="28"/>
        </w:rPr>
        <w:tab/>
        <w:t xml:space="preserve">Statutory </w:t>
      </w:r>
      <w:r w:rsidR="00782621" w:rsidRPr="00394A5B">
        <w:rPr>
          <w:rFonts w:cs="Arial"/>
          <w:sz w:val="28"/>
          <w:szCs w:val="28"/>
        </w:rPr>
        <w:t xml:space="preserve">Basis </w:t>
      </w:r>
      <w:r w:rsidRPr="00394A5B">
        <w:rPr>
          <w:rFonts w:cs="Arial"/>
          <w:sz w:val="28"/>
          <w:szCs w:val="28"/>
        </w:rPr>
        <w:t xml:space="preserve">for </w:t>
      </w:r>
      <w:r w:rsidR="00685827">
        <w:rPr>
          <w:rFonts w:cs="Arial"/>
          <w:sz w:val="28"/>
          <w:szCs w:val="28"/>
        </w:rPr>
        <w:t>the </w:t>
      </w:r>
      <w:r w:rsidRPr="00394A5B">
        <w:rPr>
          <w:rFonts w:cs="Arial"/>
          <w:sz w:val="28"/>
          <w:szCs w:val="28"/>
        </w:rPr>
        <w:t>Report</w:t>
      </w:r>
    </w:p>
    <w:p w14:paraId="5942EBA6" w14:textId="469BD7F7" w:rsidR="00664DC6" w:rsidRPr="00394A5B" w:rsidRDefault="00664DC6" w:rsidP="00F87EC8">
      <w:pPr>
        <w:pStyle w:val="Heading2"/>
      </w:pPr>
      <w:r w:rsidRPr="00394A5B">
        <w:br w:type="page"/>
      </w:r>
      <w:bookmarkStart w:id="39" w:name="_Toc434935722"/>
      <w:bookmarkStart w:id="40" w:name="_Toc434935976"/>
      <w:bookmarkStart w:id="41" w:name="_Toc435431405"/>
      <w:bookmarkStart w:id="42" w:name="_Toc58999030"/>
      <w:r w:rsidR="00B472B0" w:rsidRPr="00394A5B">
        <w:t>A</w:t>
      </w:r>
      <w:r w:rsidR="009149FC" w:rsidRPr="00394A5B">
        <w:t>nnex</w:t>
      </w:r>
      <w:r w:rsidR="00B472B0" w:rsidRPr="00394A5B">
        <w:t xml:space="preserve"> 1</w:t>
      </w:r>
      <w:r w:rsidR="00A60AFE" w:rsidRPr="00394A5B">
        <w:t xml:space="preserve">: </w:t>
      </w:r>
      <w:r w:rsidRPr="00394A5B">
        <w:t>A</w:t>
      </w:r>
      <w:r w:rsidR="00B472B0" w:rsidRPr="00394A5B">
        <w:t xml:space="preserve">mounts of Revenue Support Grant to be </w:t>
      </w:r>
      <w:r w:rsidR="004106A9" w:rsidRPr="00394A5B">
        <w:t>paid</w:t>
      </w:r>
      <w:r w:rsidR="00B472B0" w:rsidRPr="00394A5B">
        <w:t xml:space="preserve"> to </w:t>
      </w:r>
      <w:r w:rsidR="00FB71D3" w:rsidRPr="00394A5B">
        <w:t xml:space="preserve">a </w:t>
      </w:r>
      <w:r w:rsidR="00BE73AC" w:rsidRPr="00394A5B">
        <w:t>Specified</w:t>
      </w:r>
      <w:r w:rsidR="00B472B0" w:rsidRPr="00394A5B">
        <w:t xml:space="preserve"> </w:t>
      </w:r>
      <w:r w:rsidR="00A60AFE" w:rsidRPr="00394A5B">
        <w:t>Bod</w:t>
      </w:r>
      <w:r w:rsidR="00FB71D3" w:rsidRPr="00394A5B">
        <w:t>y</w:t>
      </w:r>
      <w:bookmarkEnd w:id="39"/>
      <w:bookmarkEnd w:id="40"/>
      <w:bookmarkEnd w:id="41"/>
      <w:bookmarkEnd w:id="42"/>
      <w:r w:rsidR="00A60AFE" w:rsidRPr="00394A5B">
        <w:t xml:space="preserve"> </w:t>
      </w:r>
    </w:p>
    <w:p w14:paraId="77571DF0" w14:textId="00E9C1CB" w:rsidR="00664DC6" w:rsidRPr="00394A5B" w:rsidRDefault="00394A5B" w:rsidP="003D4E26">
      <w:pPr>
        <w:pStyle w:val="BodyText"/>
        <w:rPr>
          <w:rFonts w:cs="Arial"/>
        </w:rPr>
      </w:pPr>
      <w:r>
        <w:rPr>
          <w:rFonts w:cs="Arial"/>
        </w:rPr>
        <w:t>The </w:t>
      </w:r>
      <w:r w:rsidR="00664DC6" w:rsidRPr="00394A5B">
        <w:rPr>
          <w:rFonts w:cs="Arial"/>
        </w:rPr>
        <w:t xml:space="preserve">amount of RSG that </w:t>
      </w:r>
      <w:r w:rsidR="00642F6B" w:rsidRPr="00394A5B">
        <w:rPr>
          <w:rFonts w:cs="Arial"/>
        </w:rPr>
        <w:t xml:space="preserve">Welsh </w:t>
      </w:r>
      <w:r w:rsidR="00FF7FD1" w:rsidRPr="00394A5B">
        <w:rPr>
          <w:rFonts w:cs="Arial"/>
        </w:rPr>
        <w:t>Ministers</w:t>
      </w:r>
      <w:r w:rsidR="00664DC6" w:rsidRPr="00394A5B">
        <w:rPr>
          <w:rFonts w:cs="Arial"/>
        </w:rPr>
        <w:t xml:space="preserve"> will pay to </w:t>
      </w:r>
      <w:r w:rsidR="00685827">
        <w:rPr>
          <w:rFonts w:cs="Arial"/>
        </w:rPr>
        <w:t>the </w:t>
      </w:r>
      <w:r w:rsidR="00664DC6" w:rsidRPr="00394A5B">
        <w:rPr>
          <w:rFonts w:cs="Arial"/>
        </w:rPr>
        <w:t xml:space="preserve">specified body is </w:t>
      </w:r>
      <w:r w:rsidR="00685827">
        <w:rPr>
          <w:rFonts w:cs="Arial"/>
        </w:rPr>
        <w:t>the </w:t>
      </w:r>
      <w:r w:rsidR="00664DC6" w:rsidRPr="00394A5B">
        <w:rPr>
          <w:rFonts w:cs="Arial"/>
        </w:rPr>
        <w:t xml:space="preserve">amount shown against its name in </w:t>
      </w:r>
      <w:r w:rsidR="00685827">
        <w:rPr>
          <w:rFonts w:cs="Arial"/>
        </w:rPr>
        <w:t>the </w:t>
      </w:r>
      <w:r w:rsidR="00664DC6" w:rsidRPr="00394A5B">
        <w:rPr>
          <w:rFonts w:cs="Arial"/>
        </w:rPr>
        <w:t xml:space="preserve">right hand column of </w:t>
      </w:r>
      <w:r w:rsidR="00685827">
        <w:rPr>
          <w:rFonts w:cs="Arial"/>
        </w:rPr>
        <w:t>the </w:t>
      </w:r>
      <w:r w:rsidR="00782621" w:rsidRPr="00394A5B">
        <w:rPr>
          <w:rFonts w:cs="Arial"/>
        </w:rPr>
        <w:t xml:space="preserve">following </w:t>
      </w:r>
      <w:r w:rsidR="00664DC6" w:rsidRPr="00394A5B">
        <w:rPr>
          <w:rFonts w:cs="Arial"/>
        </w:rPr>
        <w:t>table</w:t>
      </w:r>
      <w:r w:rsidR="00782621" w:rsidRPr="00394A5B">
        <w:rPr>
          <w:rFonts w:cs="Arial"/>
        </w:rPr>
        <w:t>.</w:t>
      </w:r>
    </w:p>
    <w:tbl>
      <w:tblPr>
        <w:tblW w:w="9640" w:type="dxa"/>
        <w:tblInd w:w="2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  <w:tblDescription w:val="Amounts of Revenue Support Grant to be paid to Specified Bodies"/>
      </w:tblPr>
      <w:tblGrid>
        <w:gridCol w:w="6997"/>
        <w:gridCol w:w="2643"/>
      </w:tblGrid>
      <w:tr w:rsidR="00394A5B" w:rsidRPr="00394A5B" w14:paraId="4755D339" w14:textId="77777777" w:rsidTr="00685827">
        <w:trPr>
          <w:tblHeader/>
        </w:trPr>
        <w:tc>
          <w:tcPr>
            <w:tcW w:w="6997" w:type="dxa"/>
          </w:tcPr>
          <w:p w14:paraId="4D70644D" w14:textId="4F840B7C" w:rsidR="00D86381" w:rsidRPr="00394A5B" w:rsidRDefault="00664DC6" w:rsidP="00685827">
            <w:pPr>
              <w:pStyle w:val="TableHeadings"/>
            </w:pPr>
            <w:r w:rsidRPr="00394A5B">
              <w:t>Specified Body</w:t>
            </w:r>
          </w:p>
        </w:tc>
        <w:tc>
          <w:tcPr>
            <w:tcW w:w="2643" w:type="dxa"/>
          </w:tcPr>
          <w:p w14:paraId="7670255A" w14:textId="77777777" w:rsidR="00D86381" w:rsidRPr="00394A5B" w:rsidRDefault="00D86381" w:rsidP="00685827">
            <w:pPr>
              <w:pStyle w:val="TableHeadings"/>
            </w:pPr>
            <w:r w:rsidRPr="00394A5B">
              <w:t xml:space="preserve">Amount in </w:t>
            </w:r>
            <w:r w:rsidR="00664DC6" w:rsidRPr="00394A5B">
              <w:t>£</w:t>
            </w:r>
            <w:r w:rsidRPr="00394A5B">
              <w:t>s</w:t>
            </w:r>
          </w:p>
        </w:tc>
      </w:tr>
      <w:tr w:rsidR="00394A5B" w:rsidRPr="00394A5B" w14:paraId="62D19984" w14:textId="77777777" w:rsidTr="00685827">
        <w:tc>
          <w:tcPr>
            <w:tcW w:w="6997" w:type="dxa"/>
          </w:tcPr>
          <w:p w14:paraId="116F72CD" w14:textId="1C79CEB2" w:rsidR="00664DC6" w:rsidRPr="00394A5B" w:rsidRDefault="00664DC6" w:rsidP="00685827">
            <w:pPr>
              <w:pStyle w:val="TableRowText"/>
            </w:pPr>
            <w:r w:rsidRPr="00394A5B">
              <w:t>Welsh Local Government Association</w:t>
            </w:r>
            <w:r w:rsidR="00381150" w:rsidRPr="00394A5B">
              <w:t xml:space="preserve"> </w:t>
            </w:r>
          </w:p>
        </w:tc>
        <w:tc>
          <w:tcPr>
            <w:tcW w:w="2643" w:type="dxa"/>
            <w:vAlign w:val="center"/>
          </w:tcPr>
          <w:p w14:paraId="7360C77A" w14:textId="0731E97C" w:rsidR="00914BA3" w:rsidRPr="00394A5B" w:rsidRDefault="00727E0C" w:rsidP="00685827">
            <w:pPr>
              <w:pStyle w:val="TableText"/>
            </w:pPr>
            <w:r w:rsidRPr="00394A5B">
              <w:t>4,697,189</w:t>
            </w:r>
          </w:p>
        </w:tc>
      </w:tr>
      <w:tr w:rsidR="00664DC6" w:rsidRPr="00394A5B" w14:paraId="4AA54B45" w14:textId="77777777" w:rsidTr="00685827">
        <w:tc>
          <w:tcPr>
            <w:tcW w:w="6997" w:type="dxa"/>
          </w:tcPr>
          <w:p w14:paraId="55174754" w14:textId="510A8276" w:rsidR="00664DC6" w:rsidRPr="00394A5B" w:rsidRDefault="00664DC6" w:rsidP="00685827">
            <w:pPr>
              <w:pStyle w:val="TableRowText"/>
            </w:pPr>
            <w:r w:rsidRPr="00394A5B">
              <w:t>TOTAL</w:t>
            </w:r>
          </w:p>
        </w:tc>
        <w:tc>
          <w:tcPr>
            <w:tcW w:w="2643" w:type="dxa"/>
          </w:tcPr>
          <w:p w14:paraId="45A79FAB" w14:textId="19C3491B" w:rsidR="00664DC6" w:rsidRPr="00394A5B" w:rsidRDefault="00727E0C" w:rsidP="00685827">
            <w:pPr>
              <w:pStyle w:val="TableText"/>
              <w:rPr>
                <w:snapToGrid w:val="0"/>
                <w:lang w:eastAsia="en-US"/>
              </w:rPr>
            </w:pPr>
            <w:r w:rsidRPr="00394A5B">
              <w:t>4,697,189</w:t>
            </w:r>
          </w:p>
        </w:tc>
      </w:tr>
    </w:tbl>
    <w:p w14:paraId="42458257" w14:textId="77777777" w:rsidR="00664DC6" w:rsidRPr="00394A5B" w:rsidRDefault="00664DC6" w:rsidP="003D4E26">
      <w:pPr>
        <w:widowControl w:val="0"/>
        <w:spacing w:line="360" w:lineRule="atLeast"/>
        <w:rPr>
          <w:rFonts w:cs="Arial"/>
        </w:rPr>
      </w:pPr>
    </w:p>
    <w:p w14:paraId="7FA60923" w14:textId="2A0EAC01" w:rsidR="00664DC6" w:rsidRPr="00394A5B" w:rsidRDefault="00664DC6">
      <w:pPr>
        <w:pStyle w:val="Heading2"/>
      </w:pPr>
      <w:r w:rsidRPr="00394A5B">
        <w:br w:type="page"/>
      </w:r>
      <w:bookmarkStart w:id="43" w:name="_Toc435431406"/>
      <w:bookmarkStart w:id="44" w:name="_Toc58999031"/>
      <w:bookmarkStart w:id="45" w:name="_Toc434935723"/>
      <w:bookmarkStart w:id="46" w:name="_Toc434935977"/>
      <w:r w:rsidR="00B472B0" w:rsidRPr="00394A5B">
        <w:t>A</w:t>
      </w:r>
      <w:r w:rsidR="009149FC" w:rsidRPr="00394A5B">
        <w:t>nnex</w:t>
      </w:r>
      <w:r w:rsidR="00B472B0" w:rsidRPr="00394A5B">
        <w:t xml:space="preserve"> 2</w:t>
      </w:r>
      <w:r w:rsidR="00A60AFE" w:rsidRPr="00394A5B">
        <w:t xml:space="preserve">: </w:t>
      </w:r>
      <w:r w:rsidR="00A60AFE" w:rsidRPr="00394A5B">
        <w:tab/>
      </w:r>
      <w:r w:rsidR="00B472B0" w:rsidRPr="00394A5B">
        <w:t xml:space="preserve">Indicators and Values used in </w:t>
      </w:r>
      <w:r w:rsidR="00685827">
        <w:t>the </w:t>
      </w:r>
      <w:r w:rsidR="00B472B0" w:rsidRPr="00394A5B">
        <w:t xml:space="preserve">Calculation of Councils’ </w:t>
      </w:r>
      <w:r w:rsidR="00612E46" w:rsidRPr="00394A5B">
        <w:t>SSA</w:t>
      </w:r>
      <w:r w:rsidR="00B472B0" w:rsidRPr="00394A5B">
        <w:t>s</w:t>
      </w:r>
      <w:bookmarkEnd w:id="43"/>
      <w:bookmarkEnd w:id="44"/>
      <w:bookmarkEnd w:id="45"/>
      <w:bookmarkEnd w:id="46"/>
    </w:p>
    <w:p w14:paraId="5A3CEF8E" w14:textId="2DEBEDBB" w:rsidR="001677BE" w:rsidRPr="00685827" w:rsidRDefault="00394A5B" w:rsidP="00685827">
      <w:pPr>
        <w:pStyle w:val="Heading3"/>
      </w:pPr>
      <w:r w:rsidRPr="00685827">
        <w:t>Table </w:t>
      </w:r>
      <w:r w:rsidR="00BC6FD9" w:rsidRPr="00685827">
        <w:t>1:</w:t>
      </w:r>
      <w:r w:rsidR="00A60AFE" w:rsidRPr="00685827">
        <w:t xml:space="preserve"> </w:t>
      </w:r>
      <w:r w:rsidR="00664DC6" w:rsidRPr="00685827">
        <w:t xml:space="preserve">Indicators and data used to calculate SSAs for </w:t>
      </w:r>
      <w:r w:rsidR="00CB2EF6" w:rsidRPr="00685827">
        <w:t>C</w:t>
      </w:r>
      <w:r w:rsidR="00664DC6" w:rsidRPr="00685827">
        <w:t>ouncils</w:t>
      </w:r>
    </w:p>
    <w:tbl>
      <w:tblPr>
        <w:tblW w:w="10325" w:type="dxa"/>
        <w:tblInd w:w="-176" w:type="dxa"/>
        <w:tblLayout w:type="fixed"/>
        <w:tblLook w:val="04A0" w:firstRow="1" w:lastRow="0" w:firstColumn="1" w:lastColumn="0" w:noHBand="0" w:noVBand="1"/>
        <w:tblDescription w:val="Table 1: Indicators and data used to calculate SSAs for Councils"/>
      </w:tblPr>
      <w:tblGrid>
        <w:gridCol w:w="6413"/>
        <w:gridCol w:w="793"/>
        <w:gridCol w:w="1759"/>
        <w:gridCol w:w="1360"/>
      </w:tblGrid>
      <w:tr w:rsidR="00394A5B" w:rsidRPr="00394A5B" w14:paraId="7ADBF5E3" w14:textId="77777777" w:rsidTr="001E4877">
        <w:trPr>
          <w:cantSplit/>
          <w:tblHeader/>
        </w:trPr>
        <w:tc>
          <w:tcPr>
            <w:tcW w:w="641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82BD17" w14:textId="77777777" w:rsidR="00612E46" w:rsidRPr="00394A5B" w:rsidRDefault="00612E46" w:rsidP="00E419A5">
            <w:pPr>
              <w:pStyle w:val="TableHeadings"/>
              <w:spacing w:afterLines="40" w:after="96"/>
            </w:pPr>
            <w:r w:rsidRPr="00394A5B">
              <w:t>Need indicator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9CD7C0" w14:textId="2BD93D90" w:rsidR="00612E46" w:rsidRPr="00394A5B" w:rsidRDefault="00612E46" w:rsidP="00E419A5">
            <w:pPr>
              <w:pStyle w:val="TableHeadings"/>
              <w:spacing w:afterLines="40" w:after="96"/>
            </w:pPr>
            <w:r w:rsidRPr="00394A5B">
              <w:t>Note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0DA3AA" w14:textId="77777777" w:rsidR="00612E46" w:rsidRPr="00394A5B" w:rsidRDefault="00612E46" w:rsidP="00E419A5">
            <w:pPr>
              <w:pStyle w:val="TableHeadings"/>
              <w:spacing w:afterLines="40" w:after="96"/>
            </w:pPr>
            <w:r w:rsidRPr="00394A5B">
              <w:t>Data Year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C4C6C1A" w14:textId="77777777" w:rsidR="00612E46" w:rsidRPr="00394A5B" w:rsidRDefault="00612E46" w:rsidP="00E419A5">
            <w:pPr>
              <w:pStyle w:val="TableHeadings"/>
              <w:spacing w:afterLines="40" w:after="96"/>
            </w:pPr>
            <w:r w:rsidRPr="00394A5B">
              <w:t>SSA Unit (£)</w:t>
            </w:r>
          </w:p>
        </w:tc>
      </w:tr>
      <w:tr w:rsidR="00394A5B" w:rsidRPr="00394A5B" w14:paraId="1D0469EF" w14:textId="77777777" w:rsidTr="001E4877">
        <w:trPr>
          <w:cantSplit/>
          <w:trHeight w:val="284"/>
        </w:trPr>
        <w:tc>
          <w:tcPr>
            <w:tcW w:w="6413" w:type="dxa"/>
            <w:tcBorders>
              <w:top w:val="nil"/>
              <w:bottom w:val="nil"/>
              <w:right w:val="nil"/>
            </w:tcBorders>
            <w:shd w:val="clear" w:color="000000" w:fill="FFFFFF"/>
            <w:hideMark/>
          </w:tcPr>
          <w:p w14:paraId="0FD285FF" w14:textId="77777777" w:rsidR="00727E0C" w:rsidRPr="00394A5B" w:rsidRDefault="00727E0C" w:rsidP="00E419A5">
            <w:pPr>
              <w:pStyle w:val="TableRowText"/>
              <w:spacing w:afterLines="40" w:after="96"/>
            </w:pPr>
            <w:r w:rsidRPr="00394A5B">
              <w:t>Population, all ages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6B34BF" w14:textId="4C93D989" w:rsidR="00727E0C" w:rsidRPr="00394A5B" w:rsidRDefault="00727E0C" w:rsidP="00E419A5">
            <w:pPr>
              <w:pStyle w:val="TableText"/>
              <w:spacing w:afterLines="40" w:after="96"/>
            </w:pPr>
            <w:r w:rsidRPr="00394A5B"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34434" w14:textId="0F384D64" w:rsidR="00727E0C" w:rsidRPr="00394A5B" w:rsidRDefault="00727E0C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 w:rsidRPr="00394A5B">
              <w:rPr>
                <w:sz w:val="22"/>
                <w:szCs w:val="22"/>
              </w:rPr>
              <w:t>2022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CEC36F0" w14:textId="74557EAE" w:rsidR="00727E0C" w:rsidRPr="00394A5B" w:rsidRDefault="00E419A5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27E0C" w:rsidRPr="00394A5B">
              <w:rPr>
                <w:sz w:val="22"/>
                <w:szCs w:val="22"/>
              </w:rPr>
              <w:t xml:space="preserve">229.69 </w:t>
            </w:r>
          </w:p>
        </w:tc>
      </w:tr>
      <w:tr w:rsidR="00394A5B" w:rsidRPr="00394A5B" w14:paraId="7E981CD8" w14:textId="77777777" w:rsidTr="001E4877">
        <w:trPr>
          <w:cantSplit/>
          <w:trHeight w:val="284"/>
        </w:trPr>
        <w:tc>
          <w:tcPr>
            <w:tcW w:w="6413" w:type="dxa"/>
            <w:tcBorders>
              <w:top w:val="nil"/>
              <w:bottom w:val="nil"/>
              <w:right w:val="nil"/>
            </w:tcBorders>
            <w:shd w:val="clear" w:color="000000" w:fill="FFFFFF"/>
            <w:hideMark/>
          </w:tcPr>
          <w:p w14:paraId="4D60BA02" w14:textId="77777777" w:rsidR="00727E0C" w:rsidRPr="00394A5B" w:rsidRDefault="00727E0C" w:rsidP="00E419A5">
            <w:pPr>
              <w:pStyle w:val="TableRowText"/>
              <w:spacing w:afterLines="40" w:after="96"/>
            </w:pPr>
            <w:r w:rsidRPr="00394A5B">
              <w:t>Population aged 3 to 11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CCC3CF" w14:textId="1B2282B9" w:rsidR="00727E0C" w:rsidRPr="00394A5B" w:rsidRDefault="00727E0C" w:rsidP="00E419A5">
            <w:pPr>
              <w:pStyle w:val="TableText"/>
              <w:spacing w:afterLines="40" w:after="96"/>
            </w:pPr>
            <w:r w:rsidRPr="00394A5B"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090F3" w14:textId="6C0C5259" w:rsidR="00727E0C" w:rsidRPr="00394A5B" w:rsidRDefault="00727E0C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 w:rsidRPr="00394A5B">
              <w:rPr>
                <w:sz w:val="22"/>
                <w:szCs w:val="22"/>
              </w:rPr>
              <w:t>2022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3458F52" w14:textId="48AA4617" w:rsidR="00727E0C" w:rsidRPr="00394A5B" w:rsidRDefault="00E419A5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27E0C" w:rsidRPr="00394A5B">
              <w:rPr>
                <w:sz w:val="22"/>
                <w:szCs w:val="22"/>
              </w:rPr>
              <w:t xml:space="preserve">81.21 </w:t>
            </w:r>
          </w:p>
        </w:tc>
      </w:tr>
      <w:tr w:rsidR="00394A5B" w:rsidRPr="00394A5B" w14:paraId="7FA9257D" w14:textId="77777777" w:rsidTr="001E4877">
        <w:trPr>
          <w:cantSplit/>
          <w:trHeight w:val="284"/>
        </w:trPr>
        <w:tc>
          <w:tcPr>
            <w:tcW w:w="6413" w:type="dxa"/>
            <w:tcBorders>
              <w:top w:val="nil"/>
              <w:bottom w:val="nil"/>
              <w:right w:val="nil"/>
            </w:tcBorders>
            <w:shd w:val="clear" w:color="000000" w:fill="FFFFFF"/>
            <w:hideMark/>
          </w:tcPr>
          <w:p w14:paraId="2C97856D" w14:textId="77777777" w:rsidR="00727E0C" w:rsidRPr="00394A5B" w:rsidRDefault="00727E0C" w:rsidP="00E419A5">
            <w:pPr>
              <w:pStyle w:val="TableRowText"/>
              <w:spacing w:afterLines="40" w:after="96"/>
            </w:pPr>
            <w:r w:rsidRPr="00394A5B">
              <w:t>Population aged 3 to 16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E68349" w14:textId="3E973D41" w:rsidR="00727E0C" w:rsidRPr="00394A5B" w:rsidRDefault="00727E0C" w:rsidP="00E419A5">
            <w:pPr>
              <w:pStyle w:val="TableText"/>
              <w:spacing w:afterLines="40" w:after="96"/>
            </w:pPr>
            <w:r w:rsidRPr="00394A5B"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75571" w14:textId="2A857232" w:rsidR="00727E0C" w:rsidRPr="00394A5B" w:rsidRDefault="00727E0C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 w:rsidRPr="00394A5B">
              <w:rPr>
                <w:sz w:val="22"/>
                <w:szCs w:val="22"/>
              </w:rPr>
              <w:t>2022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CA5CCA7" w14:textId="75E9AB04" w:rsidR="00727E0C" w:rsidRPr="00394A5B" w:rsidRDefault="00E419A5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27E0C" w:rsidRPr="00394A5B">
              <w:rPr>
                <w:sz w:val="22"/>
                <w:szCs w:val="22"/>
              </w:rPr>
              <w:t xml:space="preserve">495.53 </w:t>
            </w:r>
          </w:p>
        </w:tc>
      </w:tr>
      <w:tr w:rsidR="00394A5B" w:rsidRPr="00394A5B" w14:paraId="0BA82633" w14:textId="77777777" w:rsidTr="001E4877">
        <w:trPr>
          <w:cantSplit/>
          <w:trHeight w:val="284"/>
        </w:trPr>
        <w:tc>
          <w:tcPr>
            <w:tcW w:w="6413" w:type="dxa"/>
            <w:tcBorders>
              <w:top w:val="nil"/>
              <w:bottom w:val="nil"/>
              <w:right w:val="nil"/>
            </w:tcBorders>
            <w:shd w:val="clear" w:color="000000" w:fill="FFFFFF"/>
            <w:hideMark/>
          </w:tcPr>
          <w:p w14:paraId="1710324F" w14:textId="77777777" w:rsidR="00727E0C" w:rsidRPr="00394A5B" w:rsidRDefault="00727E0C" w:rsidP="00E419A5">
            <w:pPr>
              <w:pStyle w:val="TableRowText"/>
              <w:spacing w:afterLines="40" w:after="96"/>
            </w:pPr>
            <w:r w:rsidRPr="00394A5B">
              <w:t>Population aged 11 to 20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66CAF4" w14:textId="1E597EBC" w:rsidR="00727E0C" w:rsidRPr="00394A5B" w:rsidRDefault="00727E0C" w:rsidP="00E419A5">
            <w:pPr>
              <w:pStyle w:val="TableText"/>
              <w:spacing w:afterLines="40" w:after="96"/>
            </w:pPr>
            <w:r w:rsidRPr="00394A5B"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4CCB4" w14:textId="313AF14F" w:rsidR="00727E0C" w:rsidRPr="00394A5B" w:rsidRDefault="00727E0C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 w:rsidRPr="00394A5B">
              <w:rPr>
                <w:sz w:val="22"/>
                <w:szCs w:val="22"/>
              </w:rPr>
              <w:t>2022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6ADFBF7" w14:textId="59C37508" w:rsidR="00727E0C" w:rsidRPr="00394A5B" w:rsidRDefault="00E419A5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27E0C" w:rsidRPr="00394A5B">
              <w:rPr>
                <w:sz w:val="22"/>
                <w:szCs w:val="22"/>
              </w:rPr>
              <w:t xml:space="preserve">47.53 </w:t>
            </w:r>
          </w:p>
        </w:tc>
      </w:tr>
      <w:tr w:rsidR="00394A5B" w:rsidRPr="00394A5B" w14:paraId="6DA5098A" w14:textId="77777777" w:rsidTr="001E4877">
        <w:trPr>
          <w:cantSplit/>
          <w:trHeight w:val="284"/>
        </w:trPr>
        <w:tc>
          <w:tcPr>
            <w:tcW w:w="6413" w:type="dxa"/>
            <w:tcBorders>
              <w:top w:val="nil"/>
              <w:bottom w:val="nil"/>
              <w:right w:val="nil"/>
            </w:tcBorders>
            <w:shd w:val="clear" w:color="000000" w:fill="FFFFFF"/>
            <w:hideMark/>
          </w:tcPr>
          <w:p w14:paraId="4CCE228E" w14:textId="77777777" w:rsidR="00727E0C" w:rsidRPr="00394A5B" w:rsidRDefault="00727E0C" w:rsidP="00E419A5">
            <w:pPr>
              <w:pStyle w:val="TableRowText"/>
              <w:spacing w:afterLines="40" w:after="96"/>
            </w:pPr>
            <w:r w:rsidRPr="00394A5B">
              <w:t>Population aged 18 to 64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108BFD" w14:textId="7527AEEA" w:rsidR="00727E0C" w:rsidRPr="00394A5B" w:rsidRDefault="00727E0C" w:rsidP="00E419A5">
            <w:pPr>
              <w:pStyle w:val="TableText"/>
              <w:spacing w:afterLines="40" w:after="96"/>
            </w:pPr>
            <w:r w:rsidRPr="00394A5B"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719B0" w14:textId="756EAC9F" w:rsidR="00727E0C" w:rsidRPr="00394A5B" w:rsidRDefault="00727E0C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 w:rsidRPr="00394A5B">
              <w:rPr>
                <w:sz w:val="22"/>
                <w:szCs w:val="22"/>
              </w:rPr>
              <w:t>2022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B01584B" w14:textId="04D2FC2D" w:rsidR="00727E0C" w:rsidRPr="00394A5B" w:rsidRDefault="00E419A5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27E0C" w:rsidRPr="00394A5B">
              <w:rPr>
                <w:sz w:val="22"/>
                <w:szCs w:val="22"/>
              </w:rPr>
              <w:t xml:space="preserve">227.53 </w:t>
            </w:r>
          </w:p>
        </w:tc>
      </w:tr>
      <w:tr w:rsidR="00394A5B" w:rsidRPr="00394A5B" w14:paraId="6DEA2755" w14:textId="77777777" w:rsidTr="001E4877">
        <w:trPr>
          <w:cantSplit/>
          <w:trHeight w:val="284"/>
        </w:trPr>
        <w:tc>
          <w:tcPr>
            <w:tcW w:w="6413" w:type="dxa"/>
            <w:tcBorders>
              <w:top w:val="nil"/>
              <w:bottom w:val="nil"/>
              <w:right w:val="nil"/>
            </w:tcBorders>
            <w:shd w:val="clear" w:color="000000" w:fill="FFFFFF"/>
            <w:hideMark/>
          </w:tcPr>
          <w:p w14:paraId="6F6BDA3B" w14:textId="77777777" w:rsidR="00727E0C" w:rsidRPr="00394A5B" w:rsidRDefault="00727E0C" w:rsidP="00E419A5">
            <w:pPr>
              <w:pStyle w:val="TableRowText"/>
              <w:spacing w:afterLines="40" w:after="96"/>
            </w:pPr>
            <w:r w:rsidRPr="00394A5B">
              <w:t>Population aged 16 and over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A0073E" w14:textId="35C8EA4C" w:rsidR="00727E0C" w:rsidRPr="00394A5B" w:rsidRDefault="00727E0C" w:rsidP="00E419A5">
            <w:pPr>
              <w:pStyle w:val="TableText"/>
              <w:spacing w:afterLines="40" w:after="96"/>
            </w:pPr>
            <w:r w:rsidRPr="00394A5B"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28819" w14:textId="67624DE0" w:rsidR="00727E0C" w:rsidRPr="00394A5B" w:rsidRDefault="00727E0C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 w:rsidRPr="00394A5B">
              <w:rPr>
                <w:sz w:val="22"/>
                <w:szCs w:val="22"/>
              </w:rPr>
              <w:t>2022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06C183A" w14:textId="19EBF2A7" w:rsidR="00727E0C" w:rsidRPr="00394A5B" w:rsidRDefault="00E419A5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27E0C" w:rsidRPr="00394A5B">
              <w:rPr>
                <w:sz w:val="22"/>
                <w:szCs w:val="22"/>
              </w:rPr>
              <w:t xml:space="preserve">4.99 </w:t>
            </w:r>
          </w:p>
        </w:tc>
      </w:tr>
      <w:tr w:rsidR="00394A5B" w:rsidRPr="00394A5B" w14:paraId="3F55758C" w14:textId="77777777" w:rsidTr="001E4877">
        <w:trPr>
          <w:cantSplit/>
          <w:trHeight w:val="284"/>
        </w:trPr>
        <w:tc>
          <w:tcPr>
            <w:tcW w:w="6413" w:type="dxa"/>
            <w:tcBorders>
              <w:top w:val="nil"/>
              <w:bottom w:val="nil"/>
              <w:right w:val="nil"/>
            </w:tcBorders>
            <w:shd w:val="clear" w:color="000000" w:fill="FFFFFF"/>
            <w:hideMark/>
          </w:tcPr>
          <w:p w14:paraId="4AF3E5E8" w14:textId="77777777" w:rsidR="00727E0C" w:rsidRPr="00394A5B" w:rsidRDefault="00727E0C" w:rsidP="00E419A5">
            <w:pPr>
              <w:pStyle w:val="TableRowText"/>
              <w:spacing w:afterLines="40" w:after="96"/>
            </w:pPr>
            <w:r w:rsidRPr="00394A5B">
              <w:t>Population aged 18 and over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C7E334" w14:textId="2EA4B12C" w:rsidR="00727E0C" w:rsidRPr="00394A5B" w:rsidRDefault="00727E0C" w:rsidP="00E419A5">
            <w:pPr>
              <w:pStyle w:val="TableText"/>
              <w:spacing w:afterLines="40" w:after="96"/>
            </w:pPr>
            <w:r w:rsidRPr="00394A5B"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40746" w14:textId="7198450A" w:rsidR="00727E0C" w:rsidRPr="00394A5B" w:rsidRDefault="00727E0C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 w:rsidRPr="00394A5B">
              <w:rPr>
                <w:sz w:val="22"/>
                <w:szCs w:val="22"/>
              </w:rPr>
              <w:t>2022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C77E9EA" w14:textId="2E6FED08" w:rsidR="00727E0C" w:rsidRPr="00394A5B" w:rsidRDefault="00E419A5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27E0C" w:rsidRPr="00394A5B">
              <w:rPr>
                <w:sz w:val="22"/>
                <w:szCs w:val="22"/>
              </w:rPr>
              <w:t xml:space="preserve">5.27 </w:t>
            </w:r>
          </w:p>
        </w:tc>
      </w:tr>
      <w:tr w:rsidR="00394A5B" w:rsidRPr="00394A5B" w14:paraId="6F7DC0BC" w14:textId="77777777" w:rsidTr="001E4877">
        <w:trPr>
          <w:cantSplit/>
          <w:trHeight w:val="284"/>
        </w:trPr>
        <w:tc>
          <w:tcPr>
            <w:tcW w:w="6413" w:type="dxa"/>
            <w:tcBorders>
              <w:top w:val="nil"/>
              <w:bottom w:val="nil"/>
              <w:right w:val="nil"/>
            </w:tcBorders>
            <w:shd w:val="clear" w:color="000000" w:fill="FFFFFF"/>
            <w:hideMark/>
          </w:tcPr>
          <w:p w14:paraId="4C8B56E6" w14:textId="77777777" w:rsidR="00727E0C" w:rsidRPr="00394A5B" w:rsidRDefault="00727E0C" w:rsidP="00E419A5">
            <w:pPr>
              <w:pStyle w:val="TableRowText"/>
              <w:spacing w:afterLines="40" w:after="96"/>
            </w:pPr>
            <w:r w:rsidRPr="00394A5B">
              <w:t xml:space="preserve">Population aged under 60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9183A2" w14:textId="1435ED6C" w:rsidR="00727E0C" w:rsidRPr="00394A5B" w:rsidRDefault="00727E0C" w:rsidP="00E419A5">
            <w:pPr>
              <w:pStyle w:val="TableText"/>
              <w:spacing w:afterLines="40" w:after="96"/>
            </w:pPr>
            <w:r w:rsidRPr="00394A5B"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39BAB" w14:textId="6FDE7318" w:rsidR="00727E0C" w:rsidRPr="00394A5B" w:rsidRDefault="00727E0C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 w:rsidRPr="00394A5B">
              <w:rPr>
                <w:sz w:val="22"/>
                <w:szCs w:val="22"/>
              </w:rPr>
              <w:t>2022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B27C357" w14:textId="6FFFC0E4" w:rsidR="00727E0C" w:rsidRPr="00394A5B" w:rsidRDefault="00E419A5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27E0C" w:rsidRPr="00394A5B">
              <w:rPr>
                <w:sz w:val="22"/>
                <w:szCs w:val="22"/>
              </w:rPr>
              <w:t xml:space="preserve">0.48 </w:t>
            </w:r>
          </w:p>
        </w:tc>
      </w:tr>
      <w:tr w:rsidR="00394A5B" w:rsidRPr="00394A5B" w14:paraId="60A46441" w14:textId="77777777" w:rsidTr="001E4877">
        <w:trPr>
          <w:cantSplit/>
          <w:trHeight w:val="284"/>
        </w:trPr>
        <w:tc>
          <w:tcPr>
            <w:tcW w:w="6413" w:type="dxa"/>
            <w:tcBorders>
              <w:top w:val="nil"/>
              <w:bottom w:val="nil"/>
              <w:right w:val="nil"/>
            </w:tcBorders>
            <w:shd w:val="clear" w:color="000000" w:fill="FFFFFF"/>
            <w:hideMark/>
          </w:tcPr>
          <w:p w14:paraId="4657EE4C" w14:textId="77777777" w:rsidR="00727E0C" w:rsidRPr="00394A5B" w:rsidRDefault="00727E0C" w:rsidP="00E419A5">
            <w:pPr>
              <w:pStyle w:val="TableRowText"/>
              <w:spacing w:afterLines="40" w:after="96"/>
            </w:pPr>
            <w:r w:rsidRPr="00394A5B">
              <w:t xml:space="preserve">Population aged 60 and over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5DB925" w14:textId="3E125758" w:rsidR="00727E0C" w:rsidRPr="00394A5B" w:rsidRDefault="00727E0C" w:rsidP="00E419A5">
            <w:pPr>
              <w:pStyle w:val="TableText"/>
              <w:spacing w:afterLines="40" w:after="96"/>
            </w:pPr>
            <w:r w:rsidRPr="00394A5B"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48A9F" w14:textId="57464173" w:rsidR="00727E0C" w:rsidRPr="00394A5B" w:rsidRDefault="00727E0C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 w:rsidRPr="00394A5B">
              <w:rPr>
                <w:sz w:val="22"/>
                <w:szCs w:val="22"/>
              </w:rPr>
              <w:t>2022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196C8DC" w14:textId="7C40024D" w:rsidR="00727E0C" w:rsidRPr="00394A5B" w:rsidRDefault="00E419A5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27E0C" w:rsidRPr="00394A5B">
              <w:rPr>
                <w:sz w:val="22"/>
                <w:szCs w:val="22"/>
              </w:rPr>
              <w:t xml:space="preserve">11.09 </w:t>
            </w:r>
          </w:p>
        </w:tc>
      </w:tr>
      <w:tr w:rsidR="00394A5B" w:rsidRPr="00394A5B" w14:paraId="39F0E062" w14:textId="77777777" w:rsidTr="001E4877">
        <w:trPr>
          <w:cantSplit/>
          <w:trHeight w:val="284"/>
        </w:trPr>
        <w:tc>
          <w:tcPr>
            <w:tcW w:w="6413" w:type="dxa"/>
            <w:tcBorders>
              <w:top w:val="nil"/>
              <w:bottom w:val="nil"/>
              <w:right w:val="nil"/>
            </w:tcBorders>
            <w:shd w:val="clear" w:color="000000" w:fill="FFFFFF"/>
            <w:hideMark/>
          </w:tcPr>
          <w:p w14:paraId="1DA704A1" w14:textId="77777777" w:rsidR="00727E0C" w:rsidRPr="00394A5B" w:rsidRDefault="00727E0C" w:rsidP="00E419A5">
            <w:pPr>
              <w:pStyle w:val="TableRowText"/>
              <w:spacing w:afterLines="40" w:after="96"/>
            </w:pPr>
            <w:r w:rsidRPr="00394A5B">
              <w:t xml:space="preserve">Population aged 85 and over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69675C" w14:textId="7F1CFBF0" w:rsidR="00727E0C" w:rsidRPr="00394A5B" w:rsidRDefault="00727E0C" w:rsidP="00E419A5">
            <w:pPr>
              <w:pStyle w:val="TableText"/>
              <w:spacing w:afterLines="40" w:after="96"/>
            </w:pPr>
            <w:r w:rsidRPr="00394A5B"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F0A38" w14:textId="2E66774E" w:rsidR="00727E0C" w:rsidRPr="00394A5B" w:rsidRDefault="00727E0C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 w:rsidRPr="00394A5B">
              <w:rPr>
                <w:sz w:val="22"/>
                <w:szCs w:val="22"/>
              </w:rPr>
              <w:t>2022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727B8FF" w14:textId="7E86601A" w:rsidR="00727E0C" w:rsidRPr="00394A5B" w:rsidRDefault="00E419A5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27E0C" w:rsidRPr="00394A5B">
              <w:rPr>
                <w:sz w:val="22"/>
                <w:szCs w:val="22"/>
              </w:rPr>
              <w:t xml:space="preserve">1,757.88 </w:t>
            </w:r>
          </w:p>
        </w:tc>
      </w:tr>
      <w:tr w:rsidR="00394A5B" w:rsidRPr="00394A5B" w14:paraId="5DE48C0E" w14:textId="77777777" w:rsidTr="001E4877">
        <w:trPr>
          <w:cantSplit/>
          <w:trHeight w:val="284"/>
        </w:trPr>
        <w:tc>
          <w:tcPr>
            <w:tcW w:w="6413" w:type="dxa"/>
            <w:tcBorders>
              <w:top w:val="nil"/>
              <w:bottom w:val="nil"/>
              <w:right w:val="nil"/>
            </w:tcBorders>
            <w:shd w:val="clear" w:color="000000" w:fill="FFFFFF"/>
            <w:hideMark/>
          </w:tcPr>
          <w:p w14:paraId="68DCEFF5" w14:textId="77777777" w:rsidR="00727E0C" w:rsidRPr="00394A5B" w:rsidRDefault="00727E0C" w:rsidP="00E419A5">
            <w:pPr>
              <w:pStyle w:val="TableRowText"/>
              <w:spacing w:afterLines="40" w:after="96"/>
            </w:pPr>
            <w:r w:rsidRPr="00394A5B">
              <w:t>Population aged 11 to 15 and secondary school pupils in year groups 12 to 14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EE7A78" w14:textId="3996D0F4" w:rsidR="00727E0C" w:rsidRPr="00394A5B" w:rsidRDefault="00727E0C" w:rsidP="00E419A5">
            <w:pPr>
              <w:pStyle w:val="TableText"/>
              <w:spacing w:afterLines="40" w:after="96"/>
            </w:pPr>
            <w:r w:rsidRPr="00394A5B"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D4016" w14:textId="025995C2" w:rsidR="00727E0C" w:rsidRPr="00394A5B" w:rsidRDefault="00727E0C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 w:rsidRPr="00394A5B">
              <w:rPr>
                <w:sz w:val="22"/>
                <w:szCs w:val="22"/>
              </w:rPr>
              <w:t>2022 &amp; 2021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BF05473" w14:textId="23B00726" w:rsidR="00727E0C" w:rsidRPr="00394A5B" w:rsidRDefault="00E419A5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27E0C" w:rsidRPr="00394A5B">
              <w:rPr>
                <w:sz w:val="22"/>
                <w:szCs w:val="22"/>
              </w:rPr>
              <w:t xml:space="preserve">207.88 </w:t>
            </w:r>
          </w:p>
        </w:tc>
      </w:tr>
      <w:tr w:rsidR="00394A5B" w:rsidRPr="00394A5B" w14:paraId="01E4E65E" w14:textId="77777777" w:rsidTr="001E4877">
        <w:trPr>
          <w:cantSplit/>
          <w:trHeight w:val="284"/>
        </w:trPr>
        <w:tc>
          <w:tcPr>
            <w:tcW w:w="6413" w:type="dxa"/>
            <w:tcBorders>
              <w:top w:val="nil"/>
              <w:bottom w:val="nil"/>
              <w:right w:val="nil"/>
            </w:tcBorders>
            <w:shd w:val="clear" w:color="000000" w:fill="FFFFFF"/>
            <w:hideMark/>
          </w:tcPr>
          <w:p w14:paraId="23DDCB7B" w14:textId="77777777" w:rsidR="00727E0C" w:rsidRPr="00394A5B" w:rsidRDefault="00727E0C" w:rsidP="00E419A5">
            <w:pPr>
              <w:pStyle w:val="TableRowText"/>
              <w:spacing w:afterLines="40" w:after="96"/>
            </w:pPr>
            <w:r w:rsidRPr="00394A5B">
              <w:t>Population aged 16 to 18 other than at school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D3F1B9" w14:textId="106376E3" w:rsidR="00727E0C" w:rsidRPr="00394A5B" w:rsidRDefault="00727E0C" w:rsidP="00E419A5">
            <w:pPr>
              <w:pStyle w:val="TableText"/>
              <w:spacing w:afterLines="40" w:after="96"/>
            </w:pPr>
            <w:r w:rsidRPr="00394A5B">
              <w:t>3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CF6FC" w14:textId="2838AD65" w:rsidR="00727E0C" w:rsidRPr="00394A5B" w:rsidRDefault="00727E0C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 w:rsidRPr="00394A5B">
              <w:rPr>
                <w:sz w:val="22"/>
                <w:szCs w:val="22"/>
              </w:rPr>
              <w:t>2022 &amp; 2021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4CC04E6" w14:textId="662F58EA" w:rsidR="00727E0C" w:rsidRPr="00394A5B" w:rsidRDefault="00E419A5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27E0C" w:rsidRPr="00394A5B">
              <w:rPr>
                <w:sz w:val="22"/>
                <w:szCs w:val="22"/>
              </w:rPr>
              <w:t xml:space="preserve">40.52 </w:t>
            </w:r>
          </w:p>
        </w:tc>
      </w:tr>
      <w:tr w:rsidR="00394A5B" w:rsidRPr="00394A5B" w14:paraId="1CF6E648" w14:textId="77777777" w:rsidTr="001E4877">
        <w:trPr>
          <w:cantSplit/>
          <w:trHeight w:val="284"/>
        </w:trPr>
        <w:tc>
          <w:tcPr>
            <w:tcW w:w="6413" w:type="dxa"/>
            <w:tcBorders>
              <w:top w:val="nil"/>
              <w:bottom w:val="nil"/>
              <w:right w:val="nil"/>
            </w:tcBorders>
            <w:shd w:val="clear" w:color="000000" w:fill="FFFFFF"/>
            <w:hideMark/>
          </w:tcPr>
          <w:p w14:paraId="45664C76" w14:textId="77777777" w:rsidR="00727E0C" w:rsidRPr="00394A5B" w:rsidRDefault="00727E0C" w:rsidP="00E419A5">
            <w:pPr>
              <w:pStyle w:val="TableRowText"/>
              <w:spacing w:afterLines="40" w:after="96"/>
            </w:pPr>
            <w:r w:rsidRPr="00394A5B">
              <w:t>Enhanced population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901A13" w14:textId="3F1640E8" w:rsidR="00727E0C" w:rsidRPr="00394A5B" w:rsidRDefault="00727E0C" w:rsidP="00E419A5">
            <w:pPr>
              <w:pStyle w:val="TableText"/>
              <w:spacing w:afterLines="40" w:after="96"/>
            </w:pPr>
            <w:r w:rsidRPr="00394A5B">
              <w:t>4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4EECB" w14:textId="36D6AC03" w:rsidR="00727E0C" w:rsidRPr="00394A5B" w:rsidRDefault="00727E0C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 w:rsidRPr="00394A5B">
              <w:rPr>
                <w:sz w:val="22"/>
                <w:szCs w:val="22"/>
              </w:rPr>
              <w:t>2021 &amp; 2019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689BBCF" w14:textId="753DCDE6" w:rsidR="00727E0C" w:rsidRPr="00394A5B" w:rsidRDefault="00E419A5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27E0C" w:rsidRPr="00394A5B">
              <w:rPr>
                <w:sz w:val="22"/>
                <w:szCs w:val="22"/>
              </w:rPr>
              <w:t xml:space="preserve">60.43 </w:t>
            </w:r>
          </w:p>
        </w:tc>
      </w:tr>
      <w:tr w:rsidR="00394A5B" w:rsidRPr="00394A5B" w14:paraId="091EDB8E" w14:textId="77777777" w:rsidTr="001E4877">
        <w:trPr>
          <w:cantSplit/>
          <w:trHeight w:val="284"/>
        </w:trPr>
        <w:tc>
          <w:tcPr>
            <w:tcW w:w="6413" w:type="dxa"/>
            <w:tcBorders>
              <w:top w:val="nil"/>
              <w:bottom w:val="nil"/>
              <w:right w:val="nil"/>
            </w:tcBorders>
            <w:shd w:val="clear" w:color="000000" w:fill="FFFFFF"/>
            <w:hideMark/>
          </w:tcPr>
          <w:p w14:paraId="46ED0D94" w14:textId="77777777" w:rsidR="00727E0C" w:rsidRPr="00394A5B" w:rsidRDefault="00727E0C" w:rsidP="00E419A5">
            <w:pPr>
              <w:pStyle w:val="TableRowText"/>
              <w:spacing w:afterLines="40" w:after="96"/>
            </w:pPr>
            <w:r w:rsidRPr="00394A5B">
              <w:t>Primary school pupils and modelled nursery school pupils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2ED42A" w14:textId="41A70727" w:rsidR="00727E0C" w:rsidRPr="00394A5B" w:rsidRDefault="00727E0C" w:rsidP="00E419A5">
            <w:pPr>
              <w:pStyle w:val="TableText"/>
              <w:spacing w:afterLines="40" w:after="96"/>
            </w:pPr>
            <w:r w:rsidRPr="00394A5B">
              <w:t>5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E0A3B" w14:textId="1338B22B" w:rsidR="00727E0C" w:rsidRPr="00394A5B" w:rsidRDefault="00727E0C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 w:rsidRPr="00394A5B">
              <w:rPr>
                <w:sz w:val="22"/>
                <w:szCs w:val="22"/>
              </w:rPr>
              <w:t>2021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E2B2B09" w14:textId="25453879" w:rsidR="00727E0C" w:rsidRPr="00394A5B" w:rsidRDefault="00E419A5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27E0C" w:rsidRPr="00394A5B">
              <w:rPr>
                <w:sz w:val="22"/>
                <w:szCs w:val="22"/>
              </w:rPr>
              <w:t xml:space="preserve">3,978.97 </w:t>
            </w:r>
          </w:p>
        </w:tc>
      </w:tr>
      <w:tr w:rsidR="00394A5B" w:rsidRPr="00394A5B" w14:paraId="052ECE83" w14:textId="77777777" w:rsidTr="001E4877">
        <w:trPr>
          <w:cantSplit/>
          <w:trHeight w:val="284"/>
        </w:trPr>
        <w:tc>
          <w:tcPr>
            <w:tcW w:w="6413" w:type="dxa"/>
            <w:tcBorders>
              <w:top w:val="nil"/>
              <w:bottom w:val="nil"/>
              <w:right w:val="nil"/>
            </w:tcBorders>
            <w:shd w:val="clear" w:color="000000" w:fill="FFFFFF"/>
            <w:hideMark/>
          </w:tcPr>
          <w:p w14:paraId="7FD97D9F" w14:textId="77777777" w:rsidR="00727E0C" w:rsidRPr="00394A5B" w:rsidRDefault="00727E0C" w:rsidP="00E419A5">
            <w:pPr>
              <w:pStyle w:val="TableRowText"/>
              <w:spacing w:afterLines="40" w:after="96"/>
            </w:pPr>
            <w:r w:rsidRPr="00394A5B">
              <w:t>Secondary school pupils in year groups 7 to 11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B52EF4" w14:textId="498E0A30" w:rsidR="00727E0C" w:rsidRPr="00394A5B" w:rsidRDefault="00727E0C" w:rsidP="00E419A5">
            <w:pPr>
              <w:pStyle w:val="TableText"/>
              <w:spacing w:afterLines="40" w:after="96"/>
            </w:pPr>
            <w:r w:rsidRPr="00394A5B">
              <w:t>6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71997" w14:textId="6010E2BC" w:rsidR="00727E0C" w:rsidRPr="00394A5B" w:rsidRDefault="00727E0C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 w:rsidRPr="00394A5B">
              <w:rPr>
                <w:sz w:val="22"/>
                <w:szCs w:val="22"/>
              </w:rPr>
              <w:t>2021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0FD6C41" w14:textId="33B032AC" w:rsidR="00727E0C" w:rsidRPr="00394A5B" w:rsidRDefault="00E419A5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27E0C" w:rsidRPr="00394A5B">
              <w:rPr>
                <w:sz w:val="22"/>
                <w:szCs w:val="22"/>
              </w:rPr>
              <w:t xml:space="preserve">4,690.90 </w:t>
            </w:r>
          </w:p>
        </w:tc>
      </w:tr>
      <w:tr w:rsidR="00394A5B" w:rsidRPr="00394A5B" w14:paraId="7DC01175" w14:textId="77777777" w:rsidTr="001E4877">
        <w:trPr>
          <w:cantSplit/>
          <w:trHeight w:val="284"/>
        </w:trPr>
        <w:tc>
          <w:tcPr>
            <w:tcW w:w="6413" w:type="dxa"/>
            <w:tcBorders>
              <w:top w:val="nil"/>
              <w:bottom w:val="nil"/>
              <w:right w:val="nil"/>
            </w:tcBorders>
            <w:shd w:val="clear" w:color="000000" w:fill="FFFFFF"/>
            <w:hideMark/>
          </w:tcPr>
          <w:p w14:paraId="6FB52358" w14:textId="77777777" w:rsidR="00727E0C" w:rsidRPr="00394A5B" w:rsidRDefault="00727E0C" w:rsidP="00E419A5">
            <w:pPr>
              <w:pStyle w:val="TableRowText"/>
              <w:spacing w:afterLines="40" w:after="96"/>
            </w:pPr>
            <w:r w:rsidRPr="00394A5B">
              <w:t>Secondary school pupils in year groups 10 and 11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19EA2C" w14:textId="7E3FB617" w:rsidR="00727E0C" w:rsidRPr="00394A5B" w:rsidRDefault="00727E0C" w:rsidP="00E419A5">
            <w:pPr>
              <w:pStyle w:val="TableText"/>
              <w:spacing w:afterLines="40" w:after="96"/>
            </w:pPr>
            <w:r w:rsidRPr="00394A5B">
              <w:t>7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94F8E" w14:textId="16010F53" w:rsidR="00727E0C" w:rsidRPr="00394A5B" w:rsidRDefault="00727E0C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 w:rsidRPr="00394A5B">
              <w:rPr>
                <w:sz w:val="22"/>
                <w:szCs w:val="22"/>
              </w:rPr>
              <w:t>2021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5ADF5EC" w14:textId="29820217" w:rsidR="00727E0C" w:rsidRPr="00394A5B" w:rsidRDefault="00E419A5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27E0C" w:rsidRPr="00394A5B">
              <w:rPr>
                <w:sz w:val="22"/>
                <w:szCs w:val="22"/>
              </w:rPr>
              <w:t xml:space="preserve">1,169.94 </w:t>
            </w:r>
          </w:p>
        </w:tc>
      </w:tr>
      <w:tr w:rsidR="00394A5B" w:rsidRPr="00394A5B" w14:paraId="1841DBEF" w14:textId="77777777" w:rsidTr="001E4877">
        <w:trPr>
          <w:cantSplit/>
          <w:trHeight w:val="284"/>
        </w:trPr>
        <w:tc>
          <w:tcPr>
            <w:tcW w:w="6413" w:type="dxa"/>
            <w:tcBorders>
              <w:top w:val="nil"/>
              <w:bottom w:val="nil"/>
              <w:right w:val="nil"/>
            </w:tcBorders>
            <w:shd w:val="clear" w:color="000000" w:fill="FFFFFF"/>
            <w:hideMark/>
          </w:tcPr>
          <w:p w14:paraId="4C6AB495" w14:textId="77777777" w:rsidR="00727E0C" w:rsidRPr="00394A5B" w:rsidRDefault="00727E0C" w:rsidP="00E419A5">
            <w:pPr>
              <w:pStyle w:val="TableRowText"/>
              <w:spacing w:afterLines="40" w:after="96"/>
            </w:pPr>
            <w:r w:rsidRPr="00394A5B">
              <w:t>Primary school pupils eligible for free school meals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9E945E" w14:textId="564B9A2C" w:rsidR="00727E0C" w:rsidRPr="00394A5B" w:rsidRDefault="00727E0C" w:rsidP="00E419A5">
            <w:pPr>
              <w:pStyle w:val="TableText"/>
              <w:spacing w:afterLines="40" w:after="96"/>
            </w:pPr>
            <w:r w:rsidRPr="00394A5B">
              <w:t>8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EA4A1" w14:textId="0439E21D" w:rsidR="00727E0C" w:rsidRPr="00394A5B" w:rsidRDefault="00727E0C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 w:rsidRPr="00394A5B">
              <w:rPr>
                <w:sz w:val="22"/>
                <w:szCs w:val="22"/>
              </w:rPr>
              <w:t>2021, 2018, 2017 &amp; 2016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0EE7D18" w14:textId="66CDB7C6" w:rsidR="00727E0C" w:rsidRPr="00394A5B" w:rsidRDefault="00E419A5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27E0C" w:rsidRPr="00394A5B">
              <w:rPr>
                <w:sz w:val="22"/>
                <w:szCs w:val="22"/>
              </w:rPr>
              <w:t xml:space="preserve">2,282.91 </w:t>
            </w:r>
          </w:p>
        </w:tc>
      </w:tr>
      <w:tr w:rsidR="00394A5B" w:rsidRPr="00394A5B" w14:paraId="23C28AED" w14:textId="77777777" w:rsidTr="001E4877">
        <w:trPr>
          <w:cantSplit/>
          <w:trHeight w:val="284"/>
        </w:trPr>
        <w:tc>
          <w:tcPr>
            <w:tcW w:w="6413" w:type="dxa"/>
            <w:tcBorders>
              <w:top w:val="nil"/>
              <w:bottom w:val="nil"/>
              <w:right w:val="nil"/>
            </w:tcBorders>
            <w:shd w:val="clear" w:color="000000" w:fill="FFFFFF"/>
            <w:hideMark/>
          </w:tcPr>
          <w:p w14:paraId="319F2DFA" w14:textId="77777777" w:rsidR="00727E0C" w:rsidRPr="00394A5B" w:rsidRDefault="00727E0C" w:rsidP="00E419A5">
            <w:pPr>
              <w:pStyle w:val="TableRowText"/>
              <w:spacing w:afterLines="40" w:after="96"/>
            </w:pPr>
            <w:r w:rsidRPr="00394A5B">
              <w:t>Secondary school pupils eligible for free school meals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B3949B" w14:textId="4E71CBE8" w:rsidR="00727E0C" w:rsidRPr="00394A5B" w:rsidRDefault="00727E0C" w:rsidP="00E419A5">
            <w:pPr>
              <w:pStyle w:val="TableText"/>
              <w:spacing w:afterLines="40" w:after="96"/>
            </w:pPr>
            <w:r w:rsidRPr="00394A5B">
              <w:t>9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8CE67" w14:textId="1451BFD1" w:rsidR="00727E0C" w:rsidRPr="00394A5B" w:rsidRDefault="00727E0C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 w:rsidRPr="00394A5B">
              <w:rPr>
                <w:sz w:val="22"/>
                <w:szCs w:val="22"/>
              </w:rPr>
              <w:t>2021, 2018, 2017 &amp; 2016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FF34C4A" w14:textId="6AA6CF7A" w:rsidR="00727E0C" w:rsidRPr="00394A5B" w:rsidRDefault="00E419A5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27E0C" w:rsidRPr="00394A5B">
              <w:rPr>
                <w:sz w:val="22"/>
                <w:szCs w:val="22"/>
              </w:rPr>
              <w:t xml:space="preserve">3,293.41 </w:t>
            </w:r>
          </w:p>
        </w:tc>
      </w:tr>
      <w:tr w:rsidR="00394A5B" w:rsidRPr="00394A5B" w14:paraId="1B3E3C6A" w14:textId="77777777" w:rsidTr="001E4877">
        <w:trPr>
          <w:cantSplit/>
          <w:trHeight w:val="284"/>
        </w:trPr>
        <w:tc>
          <w:tcPr>
            <w:tcW w:w="6413" w:type="dxa"/>
            <w:tcBorders>
              <w:top w:val="nil"/>
              <w:bottom w:val="nil"/>
              <w:right w:val="nil"/>
            </w:tcBorders>
            <w:shd w:val="clear" w:color="000000" w:fill="FFFFFF"/>
            <w:hideMark/>
          </w:tcPr>
          <w:p w14:paraId="795869FB" w14:textId="77777777" w:rsidR="00727E0C" w:rsidRPr="00394A5B" w:rsidRDefault="00727E0C" w:rsidP="00E419A5">
            <w:pPr>
              <w:pStyle w:val="TableRowText"/>
              <w:spacing w:afterLines="40" w:after="96"/>
            </w:pPr>
            <w:r w:rsidRPr="00394A5B">
              <w:t>Area per modelled primary school index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E6B1C0" w14:textId="1D4571B6" w:rsidR="00727E0C" w:rsidRPr="00394A5B" w:rsidRDefault="00727E0C" w:rsidP="00E419A5">
            <w:pPr>
              <w:pStyle w:val="TableText"/>
              <w:spacing w:afterLines="40" w:after="96"/>
            </w:pPr>
            <w:r w:rsidRPr="00394A5B">
              <w:t>10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DFE6C" w14:textId="153EC76C" w:rsidR="00727E0C" w:rsidRPr="00394A5B" w:rsidRDefault="00727E0C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 w:rsidRPr="00394A5B">
              <w:rPr>
                <w:sz w:val="22"/>
                <w:szCs w:val="22"/>
              </w:rPr>
              <w:t>2021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5564FBF" w14:textId="535DD23C" w:rsidR="00727E0C" w:rsidRPr="00394A5B" w:rsidRDefault="00E419A5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27E0C" w:rsidRPr="00394A5B">
              <w:rPr>
                <w:sz w:val="22"/>
                <w:szCs w:val="22"/>
              </w:rPr>
              <w:t xml:space="preserve">501.54 </w:t>
            </w:r>
          </w:p>
        </w:tc>
      </w:tr>
      <w:tr w:rsidR="00394A5B" w:rsidRPr="00394A5B" w14:paraId="1E19F27E" w14:textId="77777777" w:rsidTr="001E4877">
        <w:trPr>
          <w:cantSplit/>
          <w:trHeight w:val="284"/>
        </w:trPr>
        <w:tc>
          <w:tcPr>
            <w:tcW w:w="6413" w:type="dxa"/>
            <w:tcBorders>
              <w:top w:val="nil"/>
              <w:bottom w:val="nil"/>
              <w:right w:val="nil"/>
            </w:tcBorders>
            <w:shd w:val="clear" w:color="000000" w:fill="FFFFFF"/>
            <w:hideMark/>
          </w:tcPr>
          <w:p w14:paraId="3DA062CF" w14:textId="77777777" w:rsidR="00727E0C" w:rsidRPr="00394A5B" w:rsidRDefault="00727E0C" w:rsidP="00E419A5">
            <w:pPr>
              <w:pStyle w:val="TableRowText"/>
              <w:spacing w:afterLines="40" w:after="96"/>
            </w:pPr>
            <w:r w:rsidRPr="00394A5B">
              <w:t>Area per modelled secondary school index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FB70CC" w14:textId="778EBB82" w:rsidR="00727E0C" w:rsidRPr="00394A5B" w:rsidRDefault="00727E0C" w:rsidP="00E419A5">
            <w:pPr>
              <w:pStyle w:val="TableText"/>
              <w:spacing w:afterLines="40" w:after="96"/>
            </w:pPr>
            <w:r w:rsidRPr="00394A5B">
              <w:t>11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31487" w14:textId="3E9266DD" w:rsidR="00727E0C" w:rsidRPr="00394A5B" w:rsidRDefault="00727E0C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 w:rsidRPr="00394A5B">
              <w:rPr>
                <w:sz w:val="22"/>
                <w:szCs w:val="22"/>
              </w:rPr>
              <w:t>2021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DD777C1" w14:textId="1ACE4C8E" w:rsidR="00727E0C" w:rsidRPr="00394A5B" w:rsidRDefault="00E419A5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27E0C" w:rsidRPr="00394A5B">
              <w:rPr>
                <w:sz w:val="22"/>
                <w:szCs w:val="22"/>
              </w:rPr>
              <w:t xml:space="preserve">116.89 </w:t>
            </w:r>
          </w:p>
        </w:tc>
      </w:tr>
      <w:tr w:rsidR="00394A5B" w:rsidRPr="00394A5B" w14:paraId="58E1AD07" w14:textId="77777777" w:rsidTr="001E4877">
        <w:trPr>
          <w:cantSplit/>
          <w:trHeight w:val="284"/>
        </w:trPr>
        <w:tc>
          <w:tcPr>
            <w:tcW w:w="6413" w:type="dxa"/>
            <w:tcBorders>
              <w:top w:val="nil"/>
              <w:bottom w:val="nil"/>
              <w:right w:val="nil"/>
            </w:tcBorders>
            <w:shd w:val="clear" w:color="000000" w:fill="FFFFFF"/>
            <w:hideMark/>
          </w:tcPr>
          <w:p w14:paraId="64789B45" w14:textId="77777777" w:rsidR="00727E0C" w:rsidRPr="00394A5B" w:rsidRDefault="00727E0C" w:rsidP="00E419A5">
            <w:pPr>
              <w:pStyle w:val="TableRowText"/>
              <w:spacing w:afterLines="40" w:after="96"/>
            </w:pPr>
            <w:r w:rsidRPr="00394A5B">
              <w:t>Dependent children in households where head is in a low occupational classification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E99B8F" w14:textId="099FAE7E" w:rsidR="00727E0C" w:rsidRPr="00394A5B" w:rsidRDefault="00727E0C" w:rsidP="00E419A5">
            <w:pPr>
              <w:pStyle w:val="TableText"/>
              <w:spacing w:afterLines="40" w:after="96"/>
            </w:pPr>
            <w:r w:rsidRPr="00394A5B">
              <w:t>12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1693B" w14:textId="5883BEB9" w:rsidR="00727E0C" w:rsidRPr="00394A5B" w:rsidRDefault="00727E0C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 w:rsidRPr="00394A5B">
              <w:rPr>
                <w:sz w:val="22"/>
                <w:szCs w:val="22"/>
              </w:rPr>
              <w:t>2001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32EE3B0" w14:textId="26058A44" w:rsidR="00727E0C" w:rsidRPr="00394A5B" w:rsidRDefault="00E419A5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27E0C" w:rsidRPr="00394A5B">
              <w:rPr>
                <w:sz w:val="22"/>
                <w:szCs w:val="22"/>
              </w:rPr>
              <w:t xml:space="preserve">50.91 </w:t>
            </w:r>
          </w:p>
        </w:tc>
      </w:tr>
      <w:tr w:rsidR="00394A5B" w:rsidRPr="00394A5B" w14:paraId="6E6D6FA7" w14:textId="77777777" w:rsidTr="001E4877">
        <w:trPr>
          <w:cantSplit/>
          <w:trHeight w:val="284"/>
        </w:trPr>
        <w:tc>
          <w:tcPr>
            <w:tcW w:w="6413" w:type="dxa"/>
            <w:tcBorders>
              <w:top w:val="nil"/>
              <w:bottom w:val="nil"/>
              <w:right w:val="nil"/>
            </w:tcBorders>
            <w:shd w:val="clear" w:color="000000" w:fill="FFFFFF"/>
            <w:hideMark/>
          </w:tcPr>
          <w:p w14:paraId="64B7DA6E" w14:textId="77777777" w:rsidR="00727E0C" w:rsidRPr="00394A5B" w:rsidRDefault="00727E0C" w:rsidP="00E419A5">
            <w:pPr>
              <w:pStyle w:val="TableRowText"/>
              <w:spacing w:afterLines="40" w:after="96"/>
            </w:pPr>
            <w:r w:rsidRPr="00394A5B">
              <w:t>Dependent children in lone adult households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439595" w14:textId="67FF1961" w:rsidR="00727E0C" w:rsidRPr="00394A5B" w:rsidRDefault="00727E0C" w:rsidP="00E419A5">
            <w:pPr>
              <w:pStyle w:val="TableText"/>
              <w:spacing w:afterLines="40" w:after="96"/>
            </w:pPr>
            <w:r w:rsidRPr="00394A5B">
              <w:t>13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E7D59" w14:textId="116F2431" w:rsidR="00727E0C" w:rsidRPr="00394A5B" w:rsidRDefault="00727E0C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 w:rsidRPr="00394A5B">
              <w:rPr>
                <w:sz w:val="22"/>
                <w:szCs w:val="22"/>
              </w:rPr>
              <w:t>2001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7ABA1DD" w14:textId="4185ECB7" w:rsidR="00727E0C" w:rsidRPr="00394A5B" w:rsidRDefault="00E419A5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27E0C" w:rsidRPr="00394A5B">
              <w:rPr>
                <w:sz w:val="22"/>
                <w:szCs w:val="22"/>
              </w:rPr>
              <w:t xml:space="preserve">74.17 </w:t>
            </w:r>
          </w:p>
        </w:tc>
      </w:tr>
      <w:tr w:rsidR="00394A5B" w:rsidRPr="00394A5B" w14:paraId="02DE898F" w14:textId="77777777" w:rsidTr="001E4877">
        <w:trPr>
          <w:cantSplit/>
          <w:trHeight w:val="284"/>
        </w:trPr>
        <w:tc>
          <w:tcPr>
            <w:tcW w:w="6413" w:type="dxa"/>
            <w:tcBorders>
              <w:top w:val="nil"/>
              <w:bottom w:val="nil"/>
              <w:right w:val="nil"/>
            </w:tcBorders>
            <w:shd w:val="clear" w:color="000000" w:fill="FFFFFF"/>
            <w:hideMark/>
          </w:tcPr>
          <w:p w14:paraId="776147BC" w14:textId="77777777" w:rsidR="00727E0C" w:rsidRPr="00394A5B" w:rsidRDefault="00727E0C" w:rsidP="00E419A5">
            <w:pPr>
              <w:pStyle w:val="TableRowText"/>
              <w:spacing w:afterLines="40" w:after="96"/>
            </w:pPr>
            <w:r w:rsidRPr="00394A5B">
              <w:t>Dependent children in social rented housing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09F10E" w14:textId="2B45E87A" w:rsidR="00727E0C" w:rsidRPr="00394A5B" w:rsidRDefault="00727E0C" w:rsidP="00E419A5">
            <w:pPr>
              <w:pStyle w:val="TableText"/>
              <w:spacing w:afterLines="40" w:after="96"/>
            </w:pPr>
            <w:r w:rsidRPr="00394A5B">
              <w:t>14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71865F" w14:textId="584302D3" w:rsidR="00727E0C" w:rsidRPr="00394A5B" w:rsidRDefault="00727E0C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 w:rsidRPr="00394A5B">
              <w:rPr>
                <w:sz w:val="22"/>
                <w:szCs w:val="22"/>
              </w:rPr>
              <w:t>2001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03CADA7" w14:textId="2CF9170A" w:rsidR="00727E0C" w:rsidRPr="00394A5B" w:rsidRDefault="00E419A5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27E0C" w:rsidRPr="00394A5B">
              <w:rPr>
                <w:sz w:val="22"/>
                <w:szCs w:val="22"/>
              </w:rPr>
              <w:t xml:space="preserve">574.39 </w:t>
            </w:r>
          </w:p>
        </w:tc>
      </w:tr>
      <w:tr w:rsidR="00394A5B" w:rsidRPr="00394A5B" w14:paraId="6CEEE2AA" w14:textId="77777777" w:rsidTr="001E4877">
        <w:trPr>
          <w:cantSplit/>
          <w:trHeight w:val="284"/>
        </w:trPr>
        <w:tc>
          <w:tcPr>
            <w:tcW w:w="6413" w:type="dxa"/>
            <w:tcBorders>
              <w:top w:val="nil"/>
              <w:bottom w:val="nil"/>
              <w:right w:val="nil"/>
            </w:tcBorders>
            <w:shd w:val="clear" w:color="000000" w:fill="FFFFFF"/>
            <w:hideMark/>
          </w:tcPr>
          <w:p w14:paraId="2E4FD4AB" w14:textId="77777777" w:rsidR="00727E0C" w:rsidRPr="00394A5B" w:rsidRDefault="00727E0C" w:rsidP="00E419A5">
            <w:pPr>
              <w:pStyle w:val="TableRowText"/>
              <w:spacing w:afterLines="40" w:after="96"/>
            </w:pPr>
            <w:r w:rsidRPr="00394A5B">
              <w:t>Dependent children in overcrowded housing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9E73EC" w14:textId="42BED6E3" w:rsidR="00727E0C" w:rsidRPr="00394A5B" w:rsidRDefault="00727E0C" w:rsidP="00E419A5">
            <w:pPr>
              <w:pStyle w:val="TableText"/>
              <w:spacing w:afterLines="40" w:after="96"/>
            </w:pPr>
            <w:r w:rsidRPr="00394A5B">
              <w:t>15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20060" w14:textId="7A1065A9" w:rsidR="00727E0C" w:rsidRPr="00394A5B" w:rsidRDefault="00727E0C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 w:rsidRPr="00394A5B">
              <w:rPr>
                <w:sz w:val="22"/>
                <w:szCs w:val="22"/>
              </w:rPr>
              <w:t>2001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7651BF9" w14:textId="345C2F0F" w:rsidR="00727E0C" w:rsidRPr="00394A5B" w:rsidRDefault="00E419A5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27E0C" w:rsidRPr="00394A5B">
              <w:rPr>
                <w:sz w:val="22"/>
                <w:szCs w:val="22"/>
              </w:rPr>
              <w:t xml:space="preserve">1,103.46 </w:t>
            </w:r>
          </w:p>
        </w:tc>
      </w:tr>
      <w:tr w:rsidR="00394A5B" w:rsidRPr="00394A5B" w14:paraId="0AB1A29F" w14:textId="77777777" w:rsidTr="001E4877">
        <w:trPr>
          <w:cantSplit/>
          <w:trHeight w:val="284"/>
        </w:trPr>
        <w:tc>
          <w:tcPr>
            <w:tcW w:w="6413" w:type="dxa"/>
            <w:tcBorders>
              <w:top w:val="nil"/>
              <w:bottom w:val="nil"/>
              <w:right w:val="nil"/>
            </w:tcBorders>
            <w:shd w:val="clear" w:color="000000" w:fill="FFFFFF"/>
            <w:hideMark/>
          </w:tcPr>
          <w:p w14:paraId="237A9157" w14:textId="77777777" w:rsidR="00727E0C" w:rsidRPr="00394A5B" w:rsidRDefault="00727E0C" w:rsidP="00E419A5">
            <w:pPr>
              <w:pStyle w:val="TableRowText"/>
              <w:spacing w:afterLines="40" w:after="96"/>
            </w:pPr>
            <w:r w:rsidRPr="00394A5B">
              <w:t>Pensioners living alone in households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267A91" w14:textId="638E6909" w:rsidR="00727E0C" w:rsidRPr="00394A5B" w:rsidRDefault="00727E0C" w:rsidP="00E419A5">
            <w:pPr>
              <w:pStyle w:val="TableText"/>
              <w:spacing w:afterLines="40" w:after="96"/>
            </w:pPr>
            <w:r w:rsidRPr="00394A5B">
              <w:t>16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8DCD9" w14:textId="3C68DCF6" w:rsidR="00727E0C" w:rsidRPr="00394A5B" w:rsidRDefault="00727E0C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 w:rsidRPr="00394A5B">
              <w:rPr>
                <w:sz w:val="22"/>
                <w:szCs w:val="22"/>
              </w:rPr>
              <w:t>2001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37D584F" w14:textId="697D8321" w:rsidR="00727E0C" w:rsidRPr="00394A5B" w:rsidRDefault="00E419A5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27E0C" w:rsidRPr="00394A5B">
              <w:rPr>
                <w:sz w:val="22"/>
                <w:szCs w:val="22"/>
              </w:rPr>
              <w:t xml:space="preserve">1,327.61 </w:t>
            </w:r>
          </w:p>
        </w:tc>
      </w:tr>
      <w:tr w:rsidR="00394A5B" w:rsidRPr="00394A5B" w14:paraId="7BD7AF26" w14:textId="77777777" w:rsidTr="001E4877">
        <w:trPr>
          <w:cantSplit/>
          <w:trHeight w:val="284"/>
        </w:trPr>
        <w:tc>
          <w:tcPr>
            <w:tcW w:w="6413" w:type="dxa"/>
            <w:tcBorders>
              <w:top w:val="nil"/>
              <w:bottom w:val="nil"/>
              <w:right w:val="nil"/>
            </w:tcBorders>
            <w:shd w:val="clear" w:color="000000" w:fill="FFFFFF"/>
            <w:hideMark/>
          </w:tcPr>
          <w:p w14:paraId="5BB87205" w14:textId="77777777" w:rsidR="00727E0C" w:rsidRPr="00394A5B" w:rsidRDefault="00727E0C" w:rsidP="00E419A5">
            <w:pPr>
              <w:pStyle w:val="TableRowText"/>
              <w:spacing w:afterLines="40" w:after="96"/>
            </w:pPr>
            <w:r w:rsidRPr="00394A5B">
              <w:t>Pensioners with a limiting long-term illness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FB15DD" w14:textId="32A7BEBF" w:rsidR="00727E0C" w:rsidRPr="00394A5B" w:rsidRDefault="00727E0C" w:rsidP="00E419A5">
            <w:pPr>
              <w:pStyle w:val="TableText"/>
              <w:spacing w:afterLines="40" w:after="96"/>
            </w:pPr>
            <w:r w:rsidRPr="00394A5B">
              <w:t>17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29647" w14:textId="26E492D3" w:rsidR="00727E0C" w:rsidRPr="00394A5B" w:rsidRDefault="00727E0C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 w:rsidRPr="00394A5B">
              <w:rPr>
                <w:sz w:val="22"/>
                <w:szCs w:val="22"/>
              </w:rPr>
              <w:t>2001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0CBF737" w14:textId="6DEE6514" w:rsidR="00727E0C" w:rsidRPr="00394A5B" w:rsidRDefault="00E419A5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27E0C" w:rsidRPr="00394A5B">
              <w:rPr>
                <w:sz w:val="22"/>
                <w:szCs w:val="22"/>
              </w:rPr>
              <w:t xml:space="preserve">807.99 </w:t>
            </w:r>
          </w:p>
        </w:tc>
      </w:tr>
      <w:tr w:rsidR="00394A5B" w:rsidRPr="00394A5B" w14:paraId="082C925D" w14:textId="77777777" w:rsidTr="001E4877">
        <w:trPr>
          <w:cantSplit/>
          <w:trHeight w:val="284"/>
        </w:trPr>
        <w:tc>
          <w:tcPr>
            <w:tcW w:w="6413" w:type="dxa"/>
            <w:tcBorders>
              <w:top w:val="nil"/>
              <w:right w:val="nil"/>
            </w:tcBorders>
            <w:shd w:val="clear" w:color="000000" w:fill="FFFFFF"/>
            <w:hideMark/>
          </w:tcPr>
          <w:p w14:paraId="1C675186" w14:textId="77777777" w:rsidR="00727E0C" w:rsidRPr="00394A5B" w:rsidRDefault="00727E0C" w:rsidP="00E419A5">
            <w:pPr>
              <w:pStyle w:val="TableRowText"/>
              <w:spacing w:afterLines="40" w:after="96"/>
            </w:pPr>
            <w:r w:rsidRPr="00394A5B">
              <w:t>Households where head is aged 18 to 64 with no carer</w:t>
            </w:r>
          </w:p>
        </w:tc>
        <w:tc>
          <w:tcPr>
            <w:tcW w:w="793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42AF39F3" w14:textId="7F0B51C4" w:rsidR="00727E0C" w:rsidRPr="00394A5B" w:rsidRDefault="00727E0C" w:rsidP="00E419A5">
            <w:pPr>
              <w:pStyle w:val="TableText"/>
              <w:spacing w:afterLines="40" w:after="96"/>
            </w:pPr>
            <w:r w:rsidRPr="00394A5B">
              <w:t>18</w:t>
            </w:r>
          </w:p>
        </w:tc>
        <w:tc>
          <w:tcPr>
            <w:tcW w:w="175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74F08ED" w14:textId="4B613810" w:rsidR="00727E0C" w:rsidRPr="00394A5B" w:rsidRDefault="00727E0C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 w:rsidRPr="00394A5B">
              <w:rPr>
                <w:sz w:val="22"/>
                <w:szCs w:val="22"/>
              </w:rPr>
              <w:t>2001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hideMark/>
          </w:tcPr>
          <w:p w14:paraId="0E164A49" w14:textId="76B874B0" w:rsidR="00727E0C" w:rsidRPr="00394A5B" w:rsidRDefault="00E419A5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27E0C" w:rsidRPr="00394A5B">
              <w:rPr>
                <w:sz w:val="22"/>
                <w:szCs w:val="22"/>
              </w:rPr>
              <w:t xml:space="preserve">115.22 </w:t>
            </w:r>
          </w:p>
        </w:tc>
      </w:tr>
      <w:tr w:rsidR="00394A5B" w:rsidRPr="00394A5B" w14:paraId="1D3665A5" w14:textId="77777777" w:rsidTr="001E4877">
        <w:trPr>
          <w:cantSplit/>
          <w:trHeight w:val="284"/>
        </w:trPr>
        <w:tc>
          <w:tcPr>
            <w:tcW w:w="6413" w:type="dxa"/>
            <w:tcBorders>
              <w:top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0F7A3F9" w14:textId="77777777" w:rsidR="00727E0C" w:rsidRPr="00394A5B" w:rsidRDefault="00727E0C" w:rsidP="00E419A5">
            <w:pPr>
              <w:pStyle w:val="TableRowText"/>
              <w:spacing w:afterLines="40" w:after="96"/>
            </w:pPr>
            <w:r w:rsidRPr="00394A5B">
              <w:t>Adults aged 18 to 64 in non-white ethnic groups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75A450D" w14:textId="4D2AE4E0" w:rsidR="00727E0C" w:rsidRPr="00394A5B" w:rsidRDefault="00727E0C" w:rsidP="00E419A5">
            <w:pPr>
              <w:pStyle w:val="TableText"/>
              <w:spacing w:afterLines="40" w:after="96"/>
            </w:pPr>
            <w:r w:rsidRPr="00394A5B">
              <w:t>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17C309" w14:textId="4DBA838F" w:rsidR="00727E0C" w:rsidRPr="00394A5B" w:rsidRDefault="00727E0C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 w:rsidRPr="00394A5B">
              <w:rPr>
                <w:sz w:val="22"/>
                <w:szCs w:val="22"/>
              </w:rPr>
              <w:t>2001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23A21CC5" w14:textId="41F1A0FF" w:rsidR="00727E0C" w:rsidRPr="00394A5B" w:rsidRDefault="00E419A5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27E0C" w:rsidRPr="00394A5B">
              <w:rPr>
                <w:sz w:val="22"/>
                <w:szCs w:val="22"/>
              </w:rPr>
              <w:t xml:space="preserve">250.22 </w:t>
            </w:r>
          </w:p>
        </w:tc>
      </w:tr>
      <w:tr w:rsidR="00394A5B" w:rsidRPr="00394A5B" w14:paraId="1697AB71" w14:textId="77777777" w:rsidTr="001E4877">
        <w:trPr>
          <w:cantSplit/>
          <w:trHeight w:val="284"/>
        </w:trPr>
        <w:tc>
          <w:tcPr>
            <w:tcW w:w="6413" w:type="dxa"/>
            <w:tcBorders>
              <w:top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4AE627A2" w14:textId="07426730" w:rsidR="00727E0C" w:rsidRPr="00394A5B" w:rsidRDefault="00727E0C" w:rsidP="00E419A5">
            <w:pPr>
              <w:pStyle w:val="TableRowText"/>
              <w:spacing w:afterLines="40" w:after="96"/>
            </w:pPr>
            <w:r w:rsidRPr="00394A5B">
              <w:t xml:space="preserve">Population aged under 18 in wards with weighted density greater than </w:t>
            </w:r>
            <w:r w:rsidR="00685827">
              <w:t>the </w:t>
            </w:r>
            <w:r w:rsidRPr="00394A5B">
              <w:t>Welsh average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8B50A2" w14:textId="3CD1E746" w:rsidR="00727E0C" w:rsidRPr="00394A5B" w:rsidRDefault="00727E0C" w:rsidP="00E419A5">
            <w:pPr>
              <w:pStyle w:val="TableText"/>
              <w:spacing w:afterLines="40" w:after="96"/>
            </w:pPr>
            <w:r w:rsidRPr="00394A5B">
              <w:t>20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14E70" w14:textId="38A386BF" w:rsidR="00727E0C" w:rsidRPr="00394A5B" w:rsidRDefault="00727E0C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 w:rsidRPr="00394A5B">
              <w:rPr>
                <w:sz w:val="22"/>
                <w:szCs w:val="22"/>
              </w:rPr>
              <w:t>2001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04AF4A1" w14:textId="1AEB299B" w:rsidR="00727E0C" w:rsidRPr="00394A5B" w:rsidRDefault="00E419A5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27E0C" w:rsidRPr="00394A5B">
              <w:rPr>
                <w:sz w:val="22"/>
                <w:szCs w:val="22"/>
              </w:rPr>
              <w:t xml:space="preserve">120.41 </w:t>
            </w:r>
          </w:p>
        </w:tc>
      </w:tr>
      <w:tr w:rsidR="00394A5B" w:rsidRPr="00394A5B" w14:paraId="0EFEF58D" w14:textId="77777777" w:rsidTr="001E4877">
        <w:trPr>
          <w:cantSplit/>
          <w:trHeight w:val="284"/>
        </w:trPr>
        <w:tc>
          <w:tcPr>
            <w:tcW w:w="6413" w:type="dxa"/>
            <w:tcBorders>
              <w:top w:val="nil"/>
              <w:bottom w:val="nil"/>
              <w:right w:val="nil"/>
            </w:tcBorders>
            <w:shd w:val="clear" w:color="000000" w:fill="FFFFFF"/>
            <w:hideMark/>
          </w:tcPr>
          <w:p w14:paraId="5398D78E" w14:textId="77777777" w:rsidR="00727E0C" w:rsidRPr="00394A5B" w:rsidRDefault="00727E0C" w:rsidP="00E419A5">
            <w:pPr>
              <w:pStyle w:val="TableRowText"/>
              <w:spacing w:afterLines="40" w:after="96"/>
            </w:pPr>
            <w:r w:rsidRPr="00394A5B">
              <w:t>Dispersion threshold 2,500 (1991)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9243B2" w14:textId="78290CFB" w:rsidR="00727E0C" w:rsidRPr="00394A5B" w:rsidRDefault="00727E0C" w:rsidP="00E419A5">
            <w:pPr>
              <w:pStyle w:val="TableText"/>
              <w:spacing w:afterLines="40" w:after="96"/>
            </w:pPr>
            <w:r w:rsidRPr="00394A5B">
              <w:t>21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BC6B9" w14:textId="4B465A76" w:rsidR="00727E0C" w:rsidRPr="00394A5B" w:rsidRDefault="00727E0C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 w:rsidRPr="00394A5B">
              <w:rPr>
                <w:sz w:val="22"/>
                <w:szCs w:val="22"/>
              </w:rPr>
              <w:t>1991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F4396D9" w14:textId="5A669F9B" w:rsidR="00727E0C" w:rsidRPr="00394A5B" w:rsidRDefault="00E419A5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27E0C" w:rsidRPr="00394A5B">
              <w:rPr>
                <w:sz w:val="22"/>
                <w:szCs w:val="22"/>
              </w:rPr>
              <w:t xml:space="preserve">0.01 </w:t>
            </w:r>
          </w:p>
        </w:tc>
      </w:tr>
      <w:tr w:rsidR="00394A5B" w:rsidRPr="00394A5B" w14:paraId="7D842C8B" w14:textId="77777777" w:rsidTr="001E4877">
        <w:trPr>
          <w:cantSplit/>
          <w:trHeight w:val="284"/>
        </w:trPr>
        <w:tc>
          <w:tcPr>
            <w:tcW w:w="6413" w:type="dxa"/>
            <w:tcBorders>
              <w:top w:val="nil"/>
              <w:bottom w:val="nil"/>
              <w:right w:val="nil"/>
            </w:tcBorders>
            <w:shd w:val="clear" w:color="000000" w:fill="FFFFFF"/>
            <w:hideMark/>
          </w:tcPr>
          <w:p w14:paraId="661ED94B" w14:textId="77777777" w:rsidR="00727E0C" w:rsidRPr="00394A5B" w:rsidRDefault="00727E0C" w:rsidP="00E419A5">
            <w:pPr>
              <w:pStyle w:val="TableRowText"/>
              <w:spacing w:afterLines="40" w:after="96"/>
            </w:pPr>
            <w:r w:rsidRPr="00394A5B">
              <w:t>Dispersion threshold 5,000 (1991)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82FF7E" w14:textId="162027F7" w:rsidR="00727E0C" w:rsidRPr="00394A5B" w:rsidRDefault="00727E0C" w:rsidP="00E419A5">
            <w:pPr>
              <w:pStyle w:val="TableText"/>
              <w:spacing w:afterLines="40" w:after="96"/>
            </w:pPr>
            <w:r w:rsidRPr="00394A5B">
              <w:t>21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0582B" w14:textId="422C374B" w:rsidR="00727E0C" w:rsidRPr="00394A5B" w:rsidRDefault="00727E0C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 w:rsidRPr="00394A5B">
              <w:rPr>
                <w:sz w:val="22"/>
                <w:szCs w:val="22"/>
              </w:rPr>
              <w:t>1991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09349D5" w14:textId="30274978" w:rsidR="00727E0C" w:rsidRPr="00394A5B" w:rsidRDefault="00E419A5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27E0C" w:rsidRPr="00394A5B">
              <w:rPr>
                <w:sz w:val="22"/>
                <w:szCs w:val="22"/>
              </w:rPr>
              <w:t xml:space="preserve">0.02 </w:t>
            </w:r>
          </w:p>
        </w:tc>
      </w:tr>
      <w:tr w:rsidR="00394A5B" w:rsidRPr="00394A5B" w14:paraId="69D4AC0B" w14:textId="77777777" w:rsidTr="001E4877">
        <w:trPr>
          <w:cantSplit/>
          <w:trHeight w:val="284"/>
        </w:trPr>
        <w:tc>
          <w:tcPr>
            <w:tcW w:w="6413" w:type="dxa"/>
            <w:tcBorders>
              <w:top w:val="nil"/>
              <w:bottom w:val="nil"/>
              <w:right w:val="nil"/>
            </w:tcBorders>
            <w:shd w:val="clear" w:color="000000" w:fill="FFFFFF"/>
            <w:hideMark/>
          </w:tcPr>
          <w:p w14:paraId="52ADCB3A" w14:textId="77777777" w:rsidR="00727E0C" w:rsidRPr="00394A5B" w:rsidRDefault="00727E0C" w:rsidP="00E419A5">
            <w:pPr>
              <w:pStyle w:val="TableRowText"/>
              <w:spacing w:afterLines="40" w:after="96"/>
            </w:pPr>
            <w:r w:rsidRPr="00394A5B">
              <w:t>Dispersion threshold 300 (2001)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5A5E4A" w14:textId="12327E9C" w:rsidR="00727E0C" w:rsidRPr="00394A5B" w:rsidRDefault="00727E0C" w:rsidP="00E419A5">
            <w:pPr>
              <w:pStyle w:val="TableText"/>
              <w:spacing w:afterLines="40" w:after="96"/>
            </w:pPr>
            <w:r w:rsidRPr="00394A5B">
              <w:t>21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01E24" w14:textId="06EC6806" w:rsidR="00727E0C" w:rsidRPr="00394A5B" w:rsidRDefault="00727E0C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 w:rsidRPr="00394A5B">
              <w:rPr>
                <w:sz w:val="22"/>
                <w:szCs w:val="22"/>
              </w:rPr>
              <w:t>2001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1F11C3B" w14:textId="505B7E1B" w:rsidR="00727E0C" w:rsidRPr="00394A5B" w:rsidRDefault="00E419A5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27E0C" w:rsidRPr="00394A5B">
              <w:rPr>
                <w:sz w:val="22"/>
                <w:szCs w:val="22"/>
              </w:rPr>
              <w:t xml:space="preserve">11.39 </w:t>
            </w:r>
          </w:p>
        </w:tc>
      </w:tr>
      <w:tr w:rsidR="00394A5B" w:rsidRPr="00394A5B" w14:paraId="070E8148" w14:textId="77777777" w:rsidTr="001E4877">
        <w:trPr>
          <w:cantSplit/>
          <w:trHeight w:val="284"/>
        </w:trPr>
        <w:tc>
          <w:tcPr>
            <w:tcW w:w="6413" w:type="dxa"/>
            <w:tcBorders>
              <w:top w:val="nil"/>
              <w:bottom w:val="nil"/>
              <w:right w:val="nil"/>
            </w:tcBorders>
            <w:shd w:val="clear" w:color="000000" w:fill="FFFFFF"/>
            <w:hideMark/>
          </w:tcPr>
          <w:p w14:paraId="1ED90D12" w14:textId="77777777" w:rsidR="00727E0C" w:rsidRPr="00394A5B" w:rsidRDefault="00727E0C" w:rsidP="00E419A5">
            <w:pPr>
              <w:pStyle w:val="TableRowText"/>
              <w:spacing w:afterLines="40" w:after="96"/>
            </w:pPr>
            <w:r w:rsidRPr="00394A5B">
              <w:t>Dispersion threshold 7,500 (2001)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D734AC" w14:textId="6706FBFF" w:rsidR="00727E0C" w:rsidRPr="00394A5B" w:rsidRDefault="00727E0C" w:rsidP="00E419A5">
            <w:pPr>
              <w:pStyle w:val="TableText"/>
              <w:spacing w:afterLines="40" w:after="96"/>
            </w:pPr>
            <w:r w:rsidRPr="00394A5B">
              <w:t>21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C68BF" w14:textId="39307A98" w:rsidR="00727E0C" w:rsidRPr="00394A5B" w:rsidRDefault="00727E0C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 w:rsidRPr="00394A5B">
              <w:rPr>
                <w:sz w:val="22"/>
                <w:szCs w:val="22"/>
              </w:rPr>
              <w:t>2001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51B656C" w14:textId="1AA6B403" w:rsidR="00727E0C" w:rsidRPr="00394A5B" w:rsidRDefault="00E419A5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27E0C" w:rsidRPr="00394A5B">
              <w:rPr>
                <w:sz w:val="22"/>
                <w:szCs w:val="22"/>
              </w:rPr>
              <w:t xml:space="preserve">1.35 </w:t>
            </w:r>
          </w:p>
        </w:tc>
      </w:tr>
      <w:tr w:rsidR="00394A5B" w:rsidRPr="00394A5B" w14:paraId="23C9D155" w14:textId="77777777" w:rsidTr="001E4877">
        <w:trPr>
          <w:cantSplit/>
          <w:trHeight w:val="284"/>
        </w:trPr>
        <w:tc>
          <w:tcPr>
            <w:tcW w:w="6413" w:type="dxa"/>
            <w:tcBorders>
              <w:top w:val="nil"/>
              <w:bottom w:val="nil"/>
              <w:right w:val="nil"/>
            </w:tcBorders>
            <w:shd w:val="clear" w:color="000000" w:fill="FFFFFF"/>
            <w:hideMark/>
          </w:tcPr>
          <w:p w14:paraId="52825E9A" w14:textId="77777777" w:rsidR="00727E0C" w:rsidRPr="00394A5B" w:rsidRDefault="00727E0C" w:rsidP="00E419A5">
            <w:pPr>
              <w:pStyle w:val="TableRowText"/>
              <w:spacing w:afterLines="40" w:after="96"/>
            </w:pPr>
            <w:r w:rsidRPr="00394A5B">
              <w:t>Settlement threshold 1,000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7423AB" w14:textId="6695E649" w:rsidR="00727E0C" w:rsidRPr="00394A5B" w:rsidRDefault="00727E0C" w:rsidP="00E419A5">
            <w:pPr>
              <w:pStyle w:val="TableText"/>
              <w:spacing w:afterLines="40" w:after="96"/>
            </w:pPr>
            <w:r w:rsidRPr="00394A5B">
              <w:t>22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93C45" w14:textId="51C1AFA6" w:rsidR="00727E0C" w:rsidRPr="00394A5B" w:rsidRDefault="00727E0C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 w:rsidRPr="00394A5B">
              <w:rPr>
                <w:sz w:val="22"/>
                <w:szCs w:val="22"/>
              </w:rPr>
              <w:t>1991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3DA2BA9" w14:textId="1BE17AA7" w:rsidR="00727E0C" w:rsidRPr="00394A5B" w:rsidRDefault="00E419A5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27E0C" w:rsidRPr="00394A5B">
              <w:rPr>
                <w:sz w:val="22"/>
                <w:szCs w:val="22"/>
              </w:rPr>
              <w:t xml:space="preserve">119.58 </w:t>
            </w:r>
          </w:p>
        </w:tc>
      </w:tr>
      <w:tr w:rsidR="00394A5B" w:rsidRPr="00394A5B" w14:paraId="791BDE30" w14:textId="77777777" w:rsidTr="001E4877">
        <w:trPr>
          <w:cantSplit/>
          <w:trHeight w:val="284"/>
        </w:trPr>
        <w:tc>
          <w:tcPr>
            <w:tcW w:w="6413" w:type="dxa"/>
            <w:tcBorders>
              <w:top w:val="nil"/>
              <w:bottom w:val="nil"/>
              <w:right w:val="nil"/>
            </w:tcBorders>
            <w:shd w:val="clear" w:color="000000" w:fill="FFFFFF"/>
            <w:hideMark/>
          </w:tcPr>
          <w:p w14:paraId="107062AE" w14:textId="77777777" w:rsidR="00727E0C" w:rsidRPr="00394A5B" w:rsidRDefault="00727E0C" w:rsidP="00E419A5">
            <w:pPr>
              <w:pStyle w:val="TableRowText"/>
              <w:spacing w:afterLines="40" w:after="96"/>
            </w:pPr>
            <w:r w:rsidRPr="00394A5B">
              <w:t>Settlement threshold 7,500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86548C" w14:textId="4E624EC1" w:rsidR="00727E0C" w:rsidRPr="00394A5B" w:rsidRDefault="00727E0C" w:rsidP="00E419A5">
            <w:pPr>
              <w:pStyle w:val="TableText"/>
              <w:spacing w:afterLines="40" w:after="96"/>
            </w:pPr>
            <w:r w:rsidRPr="00394A5B">
              <w:t>22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66690" w14:textId="7B15A3BC" w:rsidR="00727E0C" w:rsidRPr="00394A5B" w:rsidRDefault="00727E0C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 w:rsidRPr="00394A5B">
              <w:rPr>
                <w:sz w:val="22"/>
                <w:szCs w:val="22"/>
              </w:rPr>
              <w:t>1991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17964C7" w14:textId="2DE77343" w:rsidR="00727E0C" w:rsidRPr="00394A5B" w:rsidRDefault="00E419A5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27E0C" w:rsidRPr="00394A5B">
              <w:rPr>
                <w:sz w:val="22"/>
                <w:szCs w:val="22"/>
              </w:rPr>
              <w:t xml:space="preserve">53.69 </w:t>
            </w:r>
          </w:p>
        </w:tc>
      </w:tr>
      <w:tr w:rsidR="00394A5B" w:rsidRPr="00394A5B" w14:paraId="2BD4F825" w14:textId="77777777" w:rsidTr="001E4877">
        <w:trPr>
          <w:cantSplit/>
          <w:trHeight w:val="184"/>
        </w:trPr>
        <w:tc>
          <w:tcPr>
            <w:tcW w:w="6413" w:type="dxa"/>
            <w:tcBorders>
              <w:top w:val="nil"/>
              <w:bottom w:val="nil"/>
              <w:right w:val="nil"/>
            </w:tcBorders>
            <w:shd w:val="clear" w:color="000000" w:fill="FFFFFF"/>
            <w:hideMark/>
          </w:tcPr>
          <w:p w14:paraId="3D27C49C" w14:textId="77777777" w:rsidR="00727E0C" w:rsidRPr="00394A5B" w:rsidRDefault="00727E0C" w:rsidP="00E419A5">
            <w:pPr>
              <w:pStyle w:val="TableRowText"/>
              <w:spacing w:afterLines="40" w:after="96"/>
            </w:pPr>
            <w:r w:rsidRPr="00394A5B">
              <w:t>Settlement threshold 12,500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AE612D" w14:textId="7C3EDE5F" w:rsidR="00727E0C" w:rsidRPr="00394A5B" w:rsidRDefault="00727E0C" w:rsidP="00E419A5">
            <w:pPr>
              <w:pStyle w:val="TableText"/>
              <w:spacing w:afterLines="40" w:after="96"/>
            </w:pPr>
            <w:r w:rsidRPr="00394A5B">
              <w:t>22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2C047" w14:textId="4EE6A8CC" w:rsidR="00727E0C" w:rsidRPr="00394A5B" w:rsidRDefault="00727E0C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 w:rsidRPr="00394A5B">
              <w:rPr>
                <w:sz w:val="22"/>
                <w:szCs w:val="22"/>
              </w:rPr>
              <w:t>1991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D276831" w14:textId="104450BB" w:rsidR="00727E0C" w:rsidRPr="00394A5B" w:rsidRDefault="00E419A5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27E0C" w:rsidRPr="00394A5B">
              <w:rPr>
                <w:sz w:val="22"/>
                <w:szCs w:val="22"/>
              </w:rPr>
              <w:t xml:space="preserve">4.67 </w:t>
            </w:r>
          </w:p>
        </w:tc>
      </w:tr>
      <w:tr w:rsidR="00394A5B" w:rsidRPr="00394A5B" w14:paraId="025647B5" w14:textId="77777777" w:rsidTr="001E4877">
        <w:trPr>
          <w:cantSplit/>
          <w:trHeight w:val="284"/>
        </w:trPr>
        <w:tc>
          <w:tcPr>
            <w:tcW w:w="6413" w:type="dxa"/>
            <w:tcBorders>
              <w:top w:val="nil"/>
              <w:bottom w:val="nil"/>
              <w:right w:val="nil"/>
            </w:tcBorders>
            <w:shd w:val="clear" w:color="000000" w:fill="FFFFFF"/>
            <w:hideMark/>
          </w:tcPr>
          <w:p w14:paraId="24405CD7" w14:textId="77777777" w:rsidR="00727E0C" w:rsidRPr="00394A5B" w:rsidRDefault="00727E0C" w:rsidP="00E419A5">
            <w:pPr>
              <w:pStyle w:val="TableRowText"/>
              <w:spacing w:afterLines="40" w:after="96"/>
            </w:pPr>
            <w:r w:rsidRPr="00394A5B">
              <w:t>Settlement threshold 30,000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365CD3" w14:textId="1748C2E4" w:rsidR="00727E0C" w:rsidRPr="00394A5B" w:rsidRDefault="00727E0C" w:rsidP="00E419A5">
            <w:pPr>
              <w:pStyle w:val="TableText"/>
              <w:spacing w:afterLines="40" w:after="96"/>
            </w:pPr>
            <w:r w:rsidRPr="00394A5B">
              <w:t>22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3F7BF" w14:textId="52FB6570" w:rsidR="00727E0C" w:rsidRPr="00394A5B" w:rsidRDefault="00727E0C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 w:rsidRPr="00394A5B">
              <w:rPr>
                <w:sz w:val="22"/>
                <w:szCs w:val="22"/>
              </w:rPr>
              <w:t>1991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B944635" w14:textId="69C2CACC" w:rsidR="00727E0C" w:rsidRPr="00394A5B" w:rsidRDefault="00E419A5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27E0C" w:rsidRPr="00394A5B">
              <w:rPr>
                <w:sz w:val="22"/>
                <w:szCs w:val="22"/>
              </w:rPr>
              <w:t xml:space="preserve">14.11 </w:t>
            </w:r>
          </w:p>
        </w:tc>
      </w:tr>
      <w:tr w:rsidR="00394A5B" w:rsidRPr="00394A5B" w14:paraId="31041227" w14:textId="77777777" w:rsidTr="001E4877">
        <w:trPr>
          <w:cantSplit/>
          <w:trHeight w:val="284"/>
        </w:trPr>
        <w:tc>
          <w:tcPr>
            <w:tcW w:w="6413" w:type="dxa"/>
            <w:tcBorders>
              <w:top w:val="nil"/>
              <w:bottom w:val="nil"/>
              <w:right w:val="nil"/>
            </w:tcBorders>
            <w:shd w:val="clear" w:color="000000" w:fill="FFFFFF"/>
            <w:hideMark/>
          </w:tcPr>
          <w:p w14:paraId="4309A652" w14:textId="77777777" w:rsidR="00727E0C" w:rsidRPr="00394A5B" w:rsidRDefault="00727E0C" w:rsidP="00E419A5">
            <w:pPr>
              <w:pStyle w:val="TableRowText"/>
              <w:spacing w:afterLines="40" w:after="96"/>
            </w:pPr>
            <w:r w:rsidRPr="00394A5B">
              <w:t>Settlement threshold 40,000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3E8124" w14:textId="2CE0A059" w:rsidR="00727E0C" w:rsidRPr="00394A5B" w:rsidRDefault="00727E0C" w:rsidP="00E419A5">
            <w:pPr>
              <w:pStyle w:val="TableText"/>
              <w:spacing w:afterLines="40" w:after="96"/>
            </w:pPr>
            <w:r w:rsidRPr="00394A5B">
              <w:t>22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D1B64" w14:textId="58824C68" w:rsidR="00727E0C" w:rsidRPr="00394A5B" w:rsidRDefault="00727E0C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 w:rsidRPr="00394A5B">
              <w:rPr>
                <w:sz w:val="22"/>
                <w:szCs w:val="22"/>
              </w:rPr>
              <w:t>1991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F40B8F3" w14:textId="7CCE9F38" w:rsidR="00727E0C" w:rsidRPr="00394A5B" w:rsidRDefault="00E419A5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27E0C" w:rsidRPr="00394A5B">
              <w:rPr>
                <w:sz w:val="22"/>
                <w:szCs w:val="22"/>
              </w:rPr>
              <w:t xml:space="preserve">14.09 </w:t>
            </w:r>
          </w:p>
        </w:tc>
      </w:tr>
      <w:tr w:rsidR="00394A5B" w:rsidRPr="00394A5B" w14:paraId="60134238" w14:textId="77777777" w:rsidTr="001E4877">
        <w:trPr>
          <w:cantSplit/>
          <w:trHeight w:val="284"/>
        </w:trPr>
        <w:tc>
          <w:tcPr>
            <w:tcW w:w="6413" w:type="dxa"/>
            <w:tcBorders>
              <w:top w:val="nil"/>
              <w:bottom w:val="nil"/>
              <w:right w:val="nil"/>
            </w:tcBorders>
            <w:shd w:val="clear" w:color="000000" w:fill="FFFFFF"/>
            <w:hideMark/>
          </w:tcPr>
          <w:p w14:paraId="04392DC6" w14:textId="77777777" w:rsidR="00727E0C" w:rsidRPr="00394A5B" w:rsidRDefault="00727E0C" w:rsidP="00E419A5">
            <w:pPr>
              <w:pStyle w:val="TableRowText"/>
              <w:spacing w:afterLines="40" w:after="96"/>
            </w:pPr>
            <w:r w:rsidRPr="00394A5B">
              <w:t>Population within settlement threshold 50,000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9DC2F9" w14:textId="44E78B30" w:rsidR="00727E0C" w:rsidRPr="00394A5B" w:rsidRDefault="00727E0C" w:rsidP="00E419A5">
            <w:pPr>
              <w:pStyle w:val="TableText"/>
              <w:spacing w:afterLines="40" w:after="96"/>
            </w:pPr>
            <w:r w:rsidRPr="00394A5B">
              <w:t>23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D8D37" w14:textId="6FD6C87D" w:rsidR="00727E0C" w:rsidRPr="00394A5B" w:rsidRDefault="00727E0C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 w:rsidRPr="00394A5B">
              <w:rPr>
                <w:sz w:val="22"/>
                <w:szCs w:val="22"/>
              </w:rPr>
              <w:t>1991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D2F711D" w14:textId="490C7B3A" w:rsidR="00727E0C" w:rsidRPr="00394A5B" w:rsidRDefault="00E419A5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27E0C" w:rsidRPr="00394A5B">
              <w:rPr>
                <w:sz w:val="22"/>
                <w:szCs w:val="22"/>
              </w:rPr>
              <w:t xml:space="preserve">21.45 </w:t>
            </w:r>
          </w:p>
        </w:tc>
      </w:tr>
      <w:tr w:rsidR="00394A5B" w:rsidRPr="00394A5B" w14:paraId="24262654" w14:textId="77777777" w:rsidTr="001E4877">
        <w:trPr>
          <w:cantSplit/>
          <w:trHeight w:val="284"/>
        </w:trPr>
        <w:tc>
          <w:tcPr>
            <w:tcW w:w="6413" w:type="dxa"/>
            <w:tcBorders>
              <w:top w:val="nil"/>
              <w:bottom w:val="nil"/>
              <w:right w:val="nil"/>
            </w:tcBorders>
            <w:shd w:val="clear" w:color="000000" w:fill="FFFFFF"/>
            <w:hideMark/>
          </w:tcPr>
          <w:p w14:paraId="5DE052A2" w14:textId="77777777" w:rsidR="00727E0C" w:rsidRPr="00394A5B" w:rsidRDefault="00727E0C" w:rsidP="00E419A5">
            <w:pPr>
              <w:pStyle w:val="TableRowText"/>
              <w:spacing w:afterLines="40" w:after="96"/>
            </w:pPr>
            <w:r w:rsidRPr="00394A5B">
              <w:t>Total income support, job seekers allowance, pension credit or universal credit (not in employment) claimants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CEE719" w14:textId="2C2D2ECD" w:rsidR="00727E0C" w:rsidRPr="00394A5B" w:rsidRDefault="00727E0C" w:rsidP="00E419A5">
            <w:pPr>
              <w:pStyle w:val="TableText"/>
              <w:spacing w:afterLines="40" w:after="96"/>
            </w:pPr>
            <w:r w:rsidRPr="00394A5B">
              <w:t>24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4602D" w14:textId="60C18D01" w:rsidR="00727E0C" w:rsidRPr="00394A5B" w:rsidRDefault="00727E0C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 w:rsidRPr="00394A5B">
              <w:rPr>
                <w:sz w:val="22"/>
                <w:szCs w:val="22"/>
              </w:rPr>
              <w:t>2021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66AA418" w14:textId="17396B2B" w:rsidR="00727E0C" w:rsidRPr="00394A5B" w:rsidRDefault="00E419A5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27E0C" w:rsidRPr="00394A5B">
              <w:rPr>
                <w:sz w:val="22"/>
                <w:szCs w:val="22"/>
              </w:rPr>
              <w:t xml:space="preserve">137.73 </w:t>
            </w:r>
          </w:p>
        </w:tc>
      </w:tr>
      <w:tr w:rsidR="00394A5B" w:rsidRPr="00394A5B" w14:paraId="6EF1DBB8" w14:textId="77777777" w:rsidTr="001E4877">
        <w:trPr>
          <w:cantSplit/>
          <w:trHeight w:val="284"/>
        </w:trPr>
        <w:tc>
          <w:tcPr>
            <w:tcW w:w="6413" w:type="dxa"/>
            <w:tcBorders>
              <w:top w:val="nil"/>
              <w:bottom w:val="nil"/>
              <w:right w:val="nil"/>
            </w:tcBorders>
            <w:shd w:val="clear" w:color="000000" w:fill="FFFFFF"/>
            <w:hideMark/>
          </w:tcPr>
          <w:p w14:paraId="669936C9" w14:textId="77777777" w:rsidR="00727E0C" w:rsidRPr="00394A5B" w:rsidRDefault="00727E0C" w:rsidP="00E419A5">
            <w:pPr>
              <w:pStyle w:val="TableRowText"/>
              <w:spacing w:afterLines="40" w:after="96"/>
            </w:pPr>
            <w:r w:rsidRPr="00394A5B">
              <w:t>Dependent children in out of work families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D7A7CB" w14:textId="4CD47B93" w:rsidR="00727E0C" w:rsidRPr="00394A5B" w:rsidRDefault="00727E0C" w:rsidP="00E419A5">
            <w:pPr>
              <w:pStyle w:val="TableText"/>
              <w:spacing w:afterLines="40" w:after="96"/>
            </w:pPr>
            <w:r w:rsidRPr="00394A5B">
              <w:t>25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CEA5E" w14:textId="54DA8487" w:rsidR="00727E0C" w:rsidRPr="00394A5B" w:rsidRDefault="00727E0C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 w:rsidRPr="00394A5B">
              <w:rPr>
                <w:sz w:val="22"/>
                <w:szCs w:val="22"/>
              </w:rPr>
              <w:t>2017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BC7E6E5" w14:textId="06ABB54A" w:rsidR="00727E0C" w:rsidRPr="00394A5B" w:rsidRDefault="00E419A5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27E0C" w:rsidRPr="00394A5B">
              <w:rPr>
                <w:sz w:val="22"/>
                <w:szCs w:val="22"/>
              </w:rPr>
              <w:t xml:space="preserve">3,986.50 </w:t>
            </w:r>
          </w:p>
        </w:tc>
      </w:tr>
      <w:tr w:rsidR="00394A5B" w:rsidRPr="00394A5B" w14:paraId="63F72208" w14:textId="77777777" w:rsidTr="001E4877">
        <w:trPr>
          <w:cantSplit/>
          <w:trHeight w:val="284"/>
        </w:trPr>
        <w:tc>
          <w:tcPr>
            <w:tcW w:w="6413" w:type="dxa"/>
            <w:tcBorders>
              <w:top w:val="nil"/>
              <w:right w:val="nil"/>
            </w:tcBorders>
            <w:shd w:val="clear" w:color="000000" w:fill="FFFFFF"/>
            <w:hideMark/>
          </w:tcPr>
          <w:p w14:paraId="4F871DD9" w14:textId="26305D74" w:rsidR="00727E0C" w:rsidRPr="00394A5B" w:rsidRDefault="00727E0C" w:rsidP="00E419A5">
            <w:pPr>
              <w:pStyle w:val="TableRowText"/>
              <w:spacing w:afterLines="40" w:after="96"/>
            </w:pPr>
            <w:r w:rsidRPr="00394A5B">
              <w:t>Income support, job seekers allowance, pension credit or universal credit (not in employment) claimants, aged 18</w:t>
            </w:r>
            <w:r w:rsidR="00E419A5">
              <w:noBreakHyphen/>
            </w:r>
            <w:r w:rsidRPr="00394A5B">
              <w:t>64</w:t>
            </w:r>
          </w:p>
        </w:tc>
        <w:tc>
          <w:tcPr>
            <w:tcW w:w="793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0D90FF5A" w14:textId="1C359BE7" w:rsidR="00727E0C" w:rsidRPr="00394A5B" w:rsidRDefault="00727E0C" w:rsidP="00E419A5">
            <w:pPr>
              <w:pStyle w:val="TableText"/>
              <w:spacing w:afterLines="40" w:after="96"/>
            </w:pPr>
            <w:r w:rsidRPr="00394A5B">
              <w:t>26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0DA4B" w14:textId="023B2BED" w:rsidR="00727E0C" w:rsidRPr="00394A5B" w:rsidRDefault="00727E0C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 w:rsidRPr="00394A5B">
              <w:rPr>
                <w:sz w:val="22"/>
                <w:szCs w:val="22"/>
              </w:rPr>
              <w:t>2021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BE3245F" w14:textId="40E9DE79" w:rsidR="00727E0C" w:rsidRPr="00394A5B" w:rsidRDefault="00E419A5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27E0C" w:rsidRPr="00394A5B">
              <w:rPr>
                <w:sz w:val="22"/>
                <w:szCs w:val="22"/>
              </w:rPr>
              <w:t xml:space="preserve">212.55 </w:t>
            </w:r>
          </w:p>
        </w:tc>
      </w:tr>
      <w:tr w:rsidR="00394A5B" w:rsidRPr="00394A5B" w14:paraId="2B1D3FB6" w14:textId="77777777" w:rsidTr="001E4877">
        <w:trPr>
          <w:cantSplit/>
          <w:trHeight w:val="284"/>
        </w:trPr>
        <w:tc>
          <w:tcPr>
            <w:tcW w:w="6413" w:type="dxa"/>
            <w:tcBorders>
              <w:top w:val="nil"/>
              <w:right w:val="nil"/>
            </w:tcBorders>
            <w:shd w:val="clear" w:color="000000" w:fill="FFFFFF"/>
            <w:hideMark/>
          </w:tcPr>
          <w:p w14:paraId="1AE17EBA" w14:textId="77777777" w:rsidR="00727E0C" w:rsidRPr="00394A5B" w:rsidRDefault="00727E0C" w:rsidP="00E419A5">
            <w:pPr>
              <w:pStyle w:val="TableRowText"/>
              <w:spacing w:afterLines="40" w:after="96"/>
            </w:pPr>
            <w:r w:rsidRPr="00394A5B">
              <w:t>Income support, job seekers allowance or pension credit claimants, aged 65 and over</w:t>
            </w:r>
          </w:p>
        </w:tc>
        <w:tc>
          <w:tcPr>
            <w:tcW w:w="793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57C755AC" w14:textId="6272F65C" w:rsidR="00727E0C" w:rsidRPr="00394A5B" w:rsidRDefault="00727E0C" w:rsidP="00E419A5">
            <w:pPr>
              <w:pStyle w:val="TableText"/>
              <w:spacing w:afterLines="40" w:after="96"/>
            </w:pPr>
            <w:r w:rsidRPr="00394A5B">
              <w:t>27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E98DB" w14:textId="20050A8F" w:rsidR="00727E0C" w:rsidRPr="00394A5B" w:rsidRDefault="00727E0C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 w:rsidRPr="00394A5B">
              <w:rPr>
                <w:sz w:val="22"/>
                <w:szCs w:val="22"/>
              </w:rPr>
              <w:t>2021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7AAB637" w14:textId="740223A0" w:rsidR="00727E0C" w:rsidRPr="00394A5B" w:rsidRDefault="00E419A5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27E0C" w:rsidRPr="00394A5B">
              <w:rPr>
                <w:sz w:val="22"/>
                <w:szCs w:val="22"/>
              </w:rPr>
              <w:t xml:space="preserve">1,151.45 </w:t>
            </w:r>
          </w:p>
        </w:tc>
      </w:tr>
      <w:tr w:rsidR="00394A5B" w:rsidRPr="00394A5B" w14:paraId="76638011" w14:textId="77777777" w:rsidTr="001E4877">
        <w:trPr>
          <w:cantSplit/>
          <w:trHeight w:val="284"/>
        </w:trPr>
        <w:tc>
          <w:tcPr>
            <w:tcW w:w="6413" w:type="dxa"/>
            <w:tcBorders>
              <w:right w:val="nil"/>
            </w:tcBorders>
            <w:shd w:val="clear" w:color="000000" w:fill="FFFFFF"/>
            <w:hideMark/>
          </w:tcPr>
          <w:p w14:paraId="1C21F9E4" w14:textId="77777777" w:rsidR="00727E0C" w:rsidRPr="00394A5B" w:rsidRDefault="00727E0C" w:rsidP="00E419A5">
            <w:pPr>
              <w:pStyle w:val="TableRowText"/>
              <w:spacing w:afterLines="40" w:after="96"/>
            </w:pPr>
            <w:r w:rsidRPr="00394A5B">
              <w:t>Severe disablement allowance or disability living allowance or personal independence payment claimants, aged 18 to 64</w:t>
            </w:r>
          </w:p>
        </w:tc>
        <w:tc>
          <w:tcPr>
            <w:tcW w:w="793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5E7C7253" w14:textId="1E38F49E" w:rsidR="00727E0C" w:rsidRPr="00394A5B" w:rsidRDefault="00727E0C" w:rsidP="00E419A5">
            <w:pPr>
              <w:pStyle w:val="TableText"/>
              <w:spacing w:afterLines="40" w:after="96"/>
            </w:pPr>
            <w:r w:rsidRPr="00394A5B">
              <w:t>28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AB377" w14:textId="53D82F62" w:rsidR="00727E0C" w:rsidRPr="00394A5B" w:rsidRDefault="00727E0C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 w:rsidRPr="00394A5B">
              <w:rPr>
                <w:sz w:val="22"/>
                <w:szCs w:val="22"/>
              </w:rPr>
              <w:t>2021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203C9DA" w14:textId="524D941B" w:rsidR="00727E0C" w:rsidRPr="00394A5B" w:rsidRDefault="00E419A5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27E0C" w:rsidRPr="00394A5B">
              <w:rPr>
                <w:sz w:val="22"/>
                <w:szCs w:val="22"/>
              </w:rPr>
              <w:t xml:space="preserve">820.22 </w:t>
            </w:r>
          </w:p>
        </w:tc>
      </w:tr>
      <w:tr w:rsidR="00394A5B" w:rsidRPr="00394A5B" w14:paraId="122AE8FC" w14:textId="77777777" w:rsidTr="001E4877">
        <w:trPr>
          <w:cantSplit/>
          <w:trHeight w:val="284"/>
        </w:trPr>
        <w:tc>
          <w:tcPr>
            <w:tcW w:w="6413" w:type="dxa"/>
            <w:tcBorders>
              <w:top w:val="nil"/>
              <w:bottom w:val="nil"/>
              <w:right w:val="nil"/>
            </w:tcBorders>
            <w:shd w:val="clear" w:color="000000" w:fill="FFFFFF"/>
            <w:hideMark/>
          </w:tcPr>
          <w:p w14:paraId="6234FE24" w14:textId="77777777" w:rsidR="00727E0C" w:rsidRPr="00394A5B" w:rsidRDefault="00727E0C" w:rsidP="00E419A5">
            <w:pPr>
              <w:pStyle w:val="TableRowText"/>
              <w:spacing w:afterLines="40" w:after="96"/>
            </w:pPr>
            <w:r w:rsidRPr="00394A5B">
              <w:t>Number of deaths from all causes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068F8F" w14:textId="326F40CE" w:rsidR="00727E0C" w:rsidRPr="00394A5B" w:rsidRDefault="00727E0C" w:rsidP="00E419A5">
            <w:pPr>
              <w:pStyle w:val="TableText"/>
              <w:spacing w:afterLines="40" w:after="96"/>
            </w:pPr>
            <w:r w:rsidRPr="00394A5B">
              <w:t>29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E2AAD" w14:textId="4B7AA207" w:rsidR="00727E0C" w:rsidRPr="00394A5B" w:rsidRDefault="00727E0C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 w:rsidRPr="00394A5B">
              <w:rPr>
                <w:sz w:val="22"/>
                <w:szCs w:val="22"/>
              </w:rPr>
              <w:t>2020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E7824DB" w14:textId="461A7875" w:rsidR="00727E0C" w:rsidRPr="00394A5B" w:rsidRDefault="00727E0C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 w:rsidRPr="00394A5B">
              <w:rPr>
                <w:sz w:val="22"/>
                <w:szCs w:val="22"/>
              </w:rPr>
              <w:t>-</w:t>
            </w:r>
            <w:r w:rsidR="00E419A5">
              <w:rPr>
                <w:sz w:val="22"/>
                <w:szCs w:val="22"/>
              </w:rPr>
              <w:t xml:space="preserve"> </w:t>
            </w:r>
            <w:r w:rsidRPr="00394A5B">
              <w:rPr>
                <w:sz w:val="22"/>
                <w:szCs w:val="22"/>
              </w:rPr>
              <w:t xml:space="preserve">78.11 </w:t>
            </w:r>
          </w:p>
        </w:tc>
      </w:tr>
      <w:tr w:rsidR="00394A5B" w:rsidRPr="00394A5B" w14:paraId="13C6CA40" w14:textId="77777777" w:rsidTr="001E4877">
        <w:trPr>
          <w:cantSplit/>
          <w:trHeight w:val="284"/>
        </w:trPr>
        <w:tc>
          <w:tcPr>
            <w:tcW w:w="6413" w:type="dxa"/>
            <w:tcBorders>
              <w:top w:val="nil"/>
              <w:bottom w:val="nil"/>
              <w:right w:val="nil"/>
            </w:tcBorders>
            <w:shd w:val="clear" w:color="000000" w:fill="FFFFFF"/>
            <w:hideMark/>
          </w:tcPr>
          <w:p w14:paraId="1338D61B" w14:textId="77777777" w:rsidR="00727E0C" w:rsidRPr="00394A5B" w:rsidRDefault="00727E0C" w:rsidP="00E419A5">
            <w:pPr>
              <w:pStyle w:val="TableRowText"/>
              <w:spacing w:afterLines="40" w:after="96"/>
            </w:pPr>
            <w:r w:rsidRPr="00394A5B">
              <w:t>Index-weighted working age population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7A7306" w14:textId="702336D9" w:rsidR="00727E0C" w:rsidRPr="00394A5B" w:rsidRDefault="00727E0C" w:rsidP="00E419A5">
            <w:pPr>
              <w:pStyle w:val="TableText"/>
              <w:spacing w:afterLines="40" w:after="96"/>
            </w:pPr>
            <w:r w:rsidRPr="00394A5B">
              <w:t>30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B5CE9" w14:textId="529FEB86" w:rsidR="00727E0C" w:rsidRPr="00394A5B" w:rsidRDefault="00727E0C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 w:rsidRPr="00394A5B">
              <w:rPr>
                <w:sz w:val="22"/>
                <w:szCs w:val="22"/>
              </w:rPr>
              <w:t>2004 &amp; 2022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D48252B" w14:textId="7C20058B" w:rsidR="00727E0C" w:rsidRPr="00394A5B" w:rsidRDefault="00E419A5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27E0C" w:rsidRPr="00394A5B">
              <w:rPr>
                <w:sz w:val="22"/>
                <w:szCs w:val="22"/>
              </w:rPr>
              <w:t xml:space="preserve">17.67 </w:t>
            </w:r>
          </w:p>
        </w:tc>
      </w:tr>
      <w:tr w:rsidR="00394A5B" w:rsidRPr="00394A5B" w14:paraId="36732D08" w14:textId="77777777" w:rsidTr="001E4877">
        <w:trPr>
          <w:cantSplit/>
          <w:trHeight w:val="284"/>
        </w:trPr>
        <w:tc>
          <w:tcPr>
            <w:tcW w:w="6413" w:type="dxa"/>
            <w:tcBorders>
              <w:top w:val="nil"/>
              <w:bottom w:val="nil"/>
              <w:right w:val="nil"/>
            </w:tcBorders>
            <w:shd w:val="clear" w:color="000000" w:fill="FFFFFF"/>
            <w:hideMark/>
          </w:tcPr>
          <w:p w14:paraId="4C49B4BE" w14:textId="77777777" w:rsidR="00727E0C" w:rsidRPr="00394A5B" w:rsidRDefault="00727E0C" w:rsidP="00E419A5">
            <w:pPr>
              <w:pStyle w:val="TableRowText"/>
              <w:spacing w:afterLines="40" w:after="96"/>
            </w:pPr>
            <w:r w:rsidRPr="00394A5B">
              <w:t>Total homelessness decisions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A7BF68" w14:textId="0FF2EC5E" w:rsidR="00727E0C" w:rsidRPr="00394A5B" w:rsidRDefault="00727E0C" w:rsidP="00E419A5">
            <w:pPr>
              <w:pStyle w:val="TableText"/>
              <w:spacing w:afterLines="40" w:after="96"/>
            </w:pPr>
            <w:r w:rsidRPr="00394A5B">
              <w:t>31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6BF37" w14:textId="670C2C10" w:rsidR="00727E0C" w:rsidRPr="00394A5B" w:rsidRDefault="00727E0C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 w:rsidRPr="00394A5B">
              <w:rPr>
                <w:sz w:val="22"/>
                <w:szCs w:val="22"/>
              </w:rPr>
              <w:t>2013-14 to 2015-16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8C270EE" w14:textId="159203E7" w:rsidR="00727E0C" w:rsidRPr="00394A5B" w:rsidRDefault="00E419A5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27E0C" w:rsidRPr="00394A5B">
              <w:rPr>
                <w:sz w:val="22"/>
                <w:szCs w:val="22"/>
              </w:rPr>
              <w:t xml:space="preserve">1,373.18 </w:t>
            </w:r>
          </w:p>
        </w:tc>
      </w:tr>
      <w:tr w:rsidR="00394A5B" w:rsidRPr="00394A5B" w14:paraId="0B02925E" w14:textId="77777777" w:rsidTr="001E4877">
        <w:trPr>
          <w:cantSplit/>
          <w:trHeight w:val="284"/>
        </w:trPr>
        <w:tc>
          <w:tcPr>
            <w:tcW w:w="6413" w:type="dxa"/>
            <w:tcBorders>
              <w:top w:val="nil"/>
              <w:bottom w:val="nil"/>
              <w:right w:val="nil"/>
            </w:tcBorders>
            <w:shd w:val="clear" w:color="000000" w:fill="FFFFFF"/>
            <w:hideMark/>
          </w:tcPr>
          <w:p w14:paraId="7B936C30" w14:textId="77777777" w:rsidR="00727E0C" w:rsidRPr="00394A5B" w:rsidRDefault="00727E0C" w:rsidP="00E419A5">
            <w:pPr>
              <w:pStyle w:val="TableRowText"/>
              <w:spacing w:afterLines="40" w:after="96"/>
            </w:pPr>
            <w:r w:rsidRPr="00394A5B">
              <w:t>Housing General Capital Funding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AA56EF" w14:textId="5E514C72" w:rsidR="00727E0C" w:rsidRPr="00394A5B" w:rsidRDefault="00727E0C" w:rsidP="00E419A5">
            <w:pPr>
              <w:pStyle w:val="TableText"/>
              <w:spacing w:afterLines="40" w:after="96"/>
            </w:pPr>
            <w:r w:rsidRPr="00394A5B">
              <w:t>32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6056F" w14:textId="6E11CA8B" w:rsidR="00727E0C" w:rsidRPr="00394A5B" w:rsidRDefault="00727E0C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 w:rsidRPr="00394A5B">
              <w:rPr>
                <w:sz w:val="22"/>
                <w:szCs w:val="22"/>
              </w:rPr>
              <w:t>2022-23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39B61C5" w14:textId="4593A51B" w:rsidR="00727E0C" w:rsidRPr="00394A5B" w:rsidRDefault="00E419A5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27E0C" w:rsidRPr="00394A5B">
              <w:rPr>
                <w:sz w:val="22"/>
                <w:szCs w:val="22"/>
              </w:rPr>
              <w:t xml:space="preserve">336.52 </w:t>
            </w:r>
          </w:p>
        </w:tc>
      </w:tr>
      <w:tr w:rsidR="00394A5B" w:rsidRPr="00394A5B" w14:paraId="391285B7" w14:textId="77777777" w:rsidTr="001E4877">
        <w:trPr>
          <w:cantSplit/>
          <w:trHeight w:val="284"/>
        </w:trPr>
        <w:tc>
          <w:tcPr>
            <w:tcW w:w="6413" w:type="dxa"/>
            <w:tcBorders>
              <w:top w:val="nil"/>
              <w:bottom w:val="nil"/>
              <w:right w:val="nil"/>
            </w:tcBorders>
            <w:shd w:val="clear" w:color="000000" w:fill="FFFFFF"/>
            <w:hideMark/>
          </w:tcPr>
          <w:p w14:paraId="7CB5E4C8" w14:textId="77777777" w:rsidR="00727E0C" w:rsidRPr="00394A5B" w:rsidRDefault="00727E0C" w:rsidP="00E419A5">
            <w:pPr>
              <w:pStyle w:val="TableRowText"/>
              <w:spacing w:afterLines="40" w:after="96"/>
            </w:pPr>
            <w:r w:rsidRPr="00394A5B">
              <w:t>Planning applications received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16B52E" w14:textId="2D4FCF10" w:rsidR="00727E0C" w:rsidRPr="00394A5B" w:rsidRDefault="00727E0C" w:rsidP="00E419A5">
            <w:pPr>
              <w:pStyle w:val="TableText"/>
              <w:spacing w:afterLines="40" w:after="96"/>
            </w:pPr>
            <w:r w:rsidRPr="00394A5B">
              <w:t>33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18E8A" w14:textId="41360D8F" w:rsidR="00727E0C" w:rsidRPr="00394A5B" w:rsidRDefault="00727E0C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 w:rsidRPr="00394A5B">
              <w:rPr>
                <w:sz w:val="22"/>
                <w:szCs w:val="22"/>
              </w:rPr>
              <w:t>2018-19 to 2020-21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335FC08" w14:textId="2F88AA07" w:rsidR="00727E0C" w:rsidRPr="00394A5B" w:rsidRDefault="00E419A5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27E0C" w:rsidRPr="00394A5B">
              <w:rPr>
                <w:sz w:val="22"/>
                <w:szCs w:val="22"/>
              </w:rPr>
              <w:t xml:space="preserve">343.14 </w:t>
            </w:r>
          </w:p>
        </w:tc>
      </w:tr>
      <w:tr w:rsidR="00394A5B" w:rsidRPr="00394A5B" w14:paraId="571B3F98" w14:textId="77777777" w:rsidTr="001E4877">
        <w:trPr>
          <w:cantSplit/>
          <w:trHeight w:val="284"/>
        </w:trPr>
        <w:tc>
          <w:tcPr>
            <w:tcW w:w="6413" w:type="dxa"/>
            <w:tcBorders>
              <w:top w:val="nil"/>
              <w:bottom w:val="nil"/>
              <w:right w:val="nil"/>
            </w:tcBorders>
            <w:shd w:val="clear" w:color="000000" w:fill="FFFFFF"/>
            <w:hideMark/>
          </w:tcPr>
          <w:p w14:paraId="16A089E9" w14:textId="77777777" w:rsidR="00727E0C" w:rsidRPr="00394A5B" w:rsidRDefault="00727E0C" w:rsidP="00E419A5">
            <w:pPr>
              <w:pStyle w:val="TableRowText"/>
              <w:spacing w:afterLines="40" w:after="96"/>
            </w:pPr>
            <w:r w:rsidRPr="00394A5B">
              <w:t>Urban road length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D76D9D" w14:textId="2169DAA8" w:rsidR="00727E0C" w:rsidRPr="00394A5B" w:rsidRDefault="00727E0C" w:rsidP="00E419A5">
            <w:pPr>
              <w:pStyle w:val="TableText"/>
              <w:spacing w:afterLines="40" w:after="96"/>
            </w:pPr>
            <w:r w:rsidRPr="00394A5B">
              <w:t>34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4DBD5" w14:textId="51892F15" w:rsidR="00727E0C" w:rsidRPr="00394A5B" w:rsidRDefault="00727E0C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 w:rsidRPr="00394A5B">
              <w:rPr>
                <w:sz w:val="22"/>
                <w:szCs w:val="22"/>
              </w:rPr>
              <w:t>2021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FC22BE7" w14:textId="7D47E2D8" w:rsidR="00727E0C" w:rsidRPr="00394A5B" w:rsidRDefault="00E419A5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27E0C" w:rsidRPr="00394A5B">
              <w:rPr>
                <w:sz w:val="22"/>
                <w:szCs w:val="22"/>
              </w:rPr>
              <w:t xml:space="preserve">1,911.85 </w:t>
            </w:r>
          </w:p>
        </w:tc>
      </w:tr>
      <w:tr w:rsidR="00394A5B" w:rsidRPr="00394A5B" w14:paraId="41B6EE9E" w14:textId="77777777" w:rsidTr="001E4877">
        <w:trPr>
          <w:cantSplit/>
          <w:trHeight w:val="284"/>
        </w:trPr>
        <w:tc>
          <w:tcPr>
            <w:tcW w:w="6413" w:type="dxa"/>
            <w:tcBorders>
              <w:top w:val="nil"/>
              <w:bottom w:val="nil"/>
              <w:right w:val="nil"/>
            </w:tcBorders>
            <w:shd w:val="clear" w:color="000000" w:fill="FFFFFF"/>
            <w:hideMark/>
          </w:tcPr>
          <w:p w14:paraId="4B637BAA" w14:textId="77777777" w:rsidR="00727E0C" w:rsidRPr="00394A5B" w:rsidRDefault="00727E0C" w:rsidP="00E419A5">
            <w:pPr>
              <w:pStyle w:val="TableRowText"/>
              <w:spacing w:afterLines="40" w:after="96"/>
            </w:pPr>
            <w:r w:rsidRPr="00394A5B">
              <w:t>Weighted Road Length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8C139B" w14:textId="203F0ABE" w:rsidR="00727E0C" w:rsidRPr="00394A5B" w:rsidRDefault="00727E0C" w:rsidP="00E419A5">
            <w:pPr>
              <w:pStyle w:val="TableText"/>
              <w:spacing w:afterLines="40" w:after="96"/>
            </w:pPr>
            <w:r w:rsidRPr="00394A5B">
              <w:t>35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8FBE6" w14:textId="763B235A" w:rsidR="00727E0C" w:rsidRPr="00394A5B" w:rsidRDefault="00727E0C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 w:rsidRPr="00394A5B">
              <w:rPr>
                <w:sz w:val="22"/>
                <w:szCs w:val="22"/>
              </w:rPr>
              <w:t>2021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944712F" w14:textId="41BB28DC" w:rsidR="00727E0C" w:rsidRPr="00394A5B" w:rsidRDefault="00E419A5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27E0C" w:rsidRPr="00394A5B">
              <w:rPr>
                <w:sz w:val="22"/>
                <w:szCs w:val="22"/>
              </w:rPr>
              <w:t xml:space="preserve">1,367.71 </w:t>
            </w:r>
          </w:p>
        </w:tc>
      </w:tr>
      <w:tr w:rsidR="00394A5B" w:rsidRPr="00394A5B" w14:paraId="72DA42C0" w14:textId="77777777" w:rsidTr="001E4877">
        <w:trPr>
          <w:cantSplit/>
          <w:trHeight w:val="284"/>
        </w:trPr>
        <w:tc>
          <w:tcPr>
            <w:tcW w:w="6413" w:type="dxa"/>
            <w:tcBorders>
              <w:top w:val="nil"/>
              <w:bottom w:val="nil"/>
              <w:right w:val="nil"/>
            </w:tcBorders>
            <w:shd w:val="clear" w:color="000000" w:fill="FFFFFF"/>
            <w:hideMark/>
          </w:tcPr>
          <w:p w14:paraId="21ECF55F" w14:textId="77777777" w:rsidR="00727E0C" w:rsidRPr="00394A5B" w:rsidRDefault="00727E0C" w:rsidP="00E419A5">
            <w:pPr>
              <w:pStyle w:val="TableRowText"/>
              <w:spacing w:afterLines="40" w:after="96"/>
            </w:pPr>
            <w:r w:rsidRPr="00394A5B">
              <w:t>Traffic flow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8E0C6A" w14:textId="6C9C9B32" w:rsidR="00727E0C" w:rsidRPr="00394A5B" w:rsidRDefault="00727E0C" w:rsidP="00E419A5">
            <w:pPr>
              <w:pStyle w:val="TableText"/>
              <w:spacing w:afterLines="40" w:after="96"/>
            </w:pPr>
            <w:r w:rsidRPr="00394A5B">
              <w:t>36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EFC3F" w14:textId="3CF5A3DF" w:rsidR="00727E0C" w:rsidRPr="00394A5B" w:rsidRDefault="00727E0C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 w:rsidRPr="00394A5B">
              <w:rPr>
                <w:sz w:val="22"/>
                <w:szCs w:val="22"/>
              </w:rPr>
              <w:t>2019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09FF080" w14:textId="50FAC78C" w:rsidR="00727E0C" w:rsidRPr="00394A5B" w:rsidRDefault="00E419A5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27E0C" w:rsidRPr="00394A5B">
              <w:rPr>
                <w:sz w:val="22"/>
                <w:szCs w:val="22"/>
              </w:rPr>
              <w:t xml:space="preserve">0.00 </w:t>
            </w:r>
          </w:p>
        </w:tc>
      </w:tr>
      <w:tr w:rsidR="00394A5B" w:rsidRPr="00394A5B" w14:paraId="27B6A5BF" w14:textId="77777777" w:rsidTr="001E4877">
        <w:trPr>
          <w:cantSplit/>
          <w:trHeight w:val="284"/>
        </w:trPr>
        <w:tc>
          <w:tcPr>
            <w:tcW w:w="6413" w:type="dxa"/>
            <w:tcBorders>
              <w:top w:val="nil"/>
              <w:bottom w:val="nil"/>
              <w:right w:val="nil"/>
            </w:tcBorders>
            <w:shd w:val="clear" w:color="000000" w:fill="FFFFFF"/>
            <w:hideMark/>
          </w:tcPr>
          <w:p w14:paraId="3A3FC14D" w14:textId="77777777" w:rsidR="00727E0C" w:rsidRPr="00394A5B" w:rsidRDefault="00727E0C" w:rsidP="00E419A5">
            <w:pPr>
              <w:pStyle w:val="TableRowText"/>
              <w:spacing w:afterLines="40" w:after="96"/>
            </w:pPr>
            <w:r w:rsidRPr="00394A5B">
              <w:t>Street lighting units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E7830F" w14:textId="06AB20A4" w:rsidR="00727E0C" w:rsidRPr="00394A5B" w:rsidRDefault="00727E0C" w:rsidP="00E419A5">
            <w:pPr>
              <w:pStyle w:val="TableText"/>
              <w:spacing w:afterLines="40" w:after="96"/>
            </w:pPr>
            <w:r w:rsidRPr="00394A5B">
              <w:t>37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BB95A" w14:textId="6C5DE764" w:rsidR="00727E0C" w:rsidRPr="00394A5B" w:rsidRDefault="00727E0C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 w:rsidRPr="00394A5B">
              <w:rPr>
                <w:sz w:val="22"/>
                <w:szCs w:val="22"/>
              </w:rPr>
              <w:t>2021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722A8E9" w14:textId="30C6102A" w:rsidR="00727E0C" w:rsidRPr="00394A5B" w:rsidRDefault="00E419A5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27E0C" w:rsidRPr="00394A5B">
              <w:rPr>
                <w:sz w:val="22"/>
                <w:szCs w:val="22"/>
              </w:rPr>
              <w:t xml:space="preserve">87.67 </w:t>
            </w:r>
          </w:p>
        </w:tc>
      </w:tr>
      <w:tr w:rsidR="00394A5B" w:rsidRPr="00394A5B" w14:paraId="2185352D" w14:textId="77777777" w:rsidTr="001E4877">
        <w:trPr>
          <w:cantSplit/>
          <w:trHeight w:val="284"/>
        </w:trPr>
        <w:tc>
          <w:tcPr>
            <w:tcW w:w="6413" w:type="dxa"/>
            <w:tcBorders>
              <w:top w:val="nil"/>
              <w:right w:val="nil"/>
            </w:tcBorders>
            <w:shd w:val="clear" w:color="000000" w:fill="FFFFFF"/>
            <w:hideMark/>
          </w:tcPr>
          <w:p w14:paraId="25016595" w14:textId="77777777" w:rsidR="00727E0C" w:rsidRPr="00394A5B" w:rsidRDefault="00727E0C" w:rsidP="00E419A5">
            <w:pPr>
              <w:pStyle w:val="TableRowText"/>
              <w:spacing w:afterLines="40" w:after="96"/>
            </w:pPr>
            <w:r w:rsidRPr="00394A5B">
              <w:t>Length of artificially protected coastline</w:t>
            </w:r>
          </w:p>
        </w:tc>
        <w:tc>
          <w:tcPr>
            <w:tcW w:w="793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41A2CCC3" w14:textId="72DDB8BB" w:rsidR="00727E0C" w:rsidRPr="00394A5B" w:rsidRDefault="00727E0C" w:rsidP="00E419A5">
            <w:pPr>
              <w:pStyle w:val="TableText"/>
              <w:spacing w:afterLines="40" w:after="96"/>
            </w:pPr>
            <w:r w:rsidRPr="00394A5B">
              <w:t>38</w:t>
            </w:r>
          </w:p>
        </w:tc>
        <w:tc>
          <w:tcPr>
            <w:tcW w:w="175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D962132" w14:textId="0C610324" w:rsidR="00727E0C" w:rsidRPr="00394A5B" w:rsidRDefault="00727E0C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 w:rsidRPr="00394A5B">
              <w:rPr>
                <w:sz w:val="22"/>
                <w:szCs w:val="22"/>
              </w:rPr>
              <w:t>2021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hideMark/>
          </w:tcPr>
          <w:p w14:paraId="2384322A" w14:textId="5F6FF7A7" w:rsidR="00727E0C" w:rsidRPr="00394A5B" w:rsidRDefault="00E419A5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27E0C" w:rsidRPr="00394A5B">
              <w:rPr>
                <w:sz w:val="22"/>
                <w:szCs w:val="22"/>
              </w:rPr>
              <w:t xml:space="preserve">16,788.69 </w:t>
            </w:r>
          </w:p>
        </w:tc>
      </w:tr>
      <w:tr w:rsidR="00394A5B" w:rsidRPr="00394A5B" w14:paraId="0DA41D86" w14:textId="77777777" w:rsidTr="001E4877">
        <w:trPr>
          <w:cantSplit/>
          <w:trHeight w:val="284"/>
        </w:trPr>
        <w:tc>
          <w:tcPr>
            <w:tcW w:w="6413" w:type="dxa"/>
            <w:tcBorders>
              <w:top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E55B081" w14:textId="77777777" w:rsidR="00727E0C" w:rsidRPr="00394A5B" w:rsidRDefault="00727E0C" w:rsidP="00E419A5">
            <w:pPr>
              <w:pStyle w:val="TableRowText"/>
              <w:spacing w:afterLines="40" w:after="96"/>
            </w:pPr>
            <w:r w:rsidRPr="00394A5B">
              <w:t>Ships arriving at ports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860FE56" w14:textId="35B15A28" w:rsidR="00727E0C" w:rsidRPr="00394A5B" w:rsidRDefault="00727E0C" w:rsidP="00E419A5">
            <w:pPr>
              <w:pStyle w:val="TableText"/>
              <w:spacing w:afterLines="40" w:after="96"/>
            </w:pPr>
            <w:r w:rsidRPr="00394A5B">
              <w:t>39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09E8EF" w14:textId="1E632754" w:rsidR="00727E0C" w:rsidRPr="00394A5B" w:rsidRDefault="00727E0C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 w:rsidRPr="00394A5B">
              <w:rPr>
                <w:sz w:val="22"/>
                <w:szCs w:val="22"/>
              </w:rPr>
              <w:t>2021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7339DB6F" w14:textId="3A99B700" w:rsidR="00727E0C" w:rsidRPr="00394A5B" w:rsidRDefault="00E419A5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27E0C" w:rsidRPr="00394A5B">
              <w:rPr>
                <w:sz w:val="22"/>
                <w:szCs w:val="22"/>
              </w:rPr>
              <w:t xml:space="preserve">73.94 </w:t>
            </w:r>
          </w:p>
        </w:tc>
      </w:tr>
      <w:tr w:rsidR="00394A5B" w:rsidRPr="00394A5B" w14:paraId="5D63FEBF" w14:textId="77777777" w:rsidTr="001E4877">
        <w:trPr>
          <w:cantSplit/>
          <w:trHeight w:val="284"/>
        </w:trPr>
        <w:tc>
          <w:tcPr>
            <w:tcW w:w="6413" w:type="dxa"/>
            <w:tcBorders>
              <w:top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6C0D5C3E" w14:textId="77777777" w:rsidR="00727E0C" w:rsidRPr="00394A5B" w:rsidRDefault="00727E0C" w:rsidP="00E419A5">
            <w:pPr>
              <w:pStyle w:val="TableRowText"/>
              <w:spacing w:afterLines="40" w:after="96"/>
            </w:pPr>
            <w:r w:rsidRPr="00394A5B">
              <w:t>All dwellings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98AA10" w14:textId="79A9DC35" w:rsidR="00727E0C" w:rsidRPr="00394A5B" w:rsidRDefault="00727E0C" w:rsidP="00E419A5">
            <w:pPr>
              <w:pStyle w:val="TableText"/>
              <w:spacing w:afterLines="40" w:after="96"/>
            </w:pPr>
            <w:r w:rsidRPr="00394A5B">
              <w:t>`40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10540" w14:textId="53EACF5D" w:rsidR="00727E0C" w:rsidRPr="00394A5B" w:rsidRDefault="00727E0C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 w:rsidRPr="00394A5B">
              <w:rPr>
                <w:sz w:val="22"/>
                <w:szCs w:val="22"/>
              </w:rPr>
              <w:t>2021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5F32F23" w14:textId="5E6C52B1" w:rsidR="00727E0C" w:rsidRPr="00394A5B" w:rsidRDefault="00E419A5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27E0C" w:rsidRPr="00394A5B">
              <w:rPr>
                <w:sz w:val="22"/>
                <w:szCs w:val="22"/>
              </w:rPr>
              <w:t xml:space="preserve">40.82 </w:t>
            </w:r>
          </w:p>
        </w:tc>
      </w:tr>
      <w:tr w:rsidR="00394A5B" w:rsidRPr="00394A5B" w14:paraId="6CB84569" w14:textId="77777777" w:rsidTr="001E4877">
        <w:trPr>
          <w:cantSplit/>
          <w:trHeight w:val="284"/>
        </w:trPr>
        <w:tc>
          <w:tcPr>
            <w:tcW w:w="6413" w:type="dxa"/>
            <w:tcBorders>
              <w:top w:val="nil"/>
              <w:bottom w:val="nil"/>
              <w:right w:val="nil"/>
            </w:tcBorders>
            <w:shd w:val="clear" w:color="000000" w:fill="FFFFFF"/>
            <w:hideMark/>
          </w:tcPr>
          <w:p w14:paraId="6030C598" w14:textId="77777777" w:rsidR="00727E0C" w:rsidRPr="00394A5B" w:rsidRDefault="00727E0C" w:rsidP="00E419A5">
            <w:pPr>
              <w:pStyle w:val="TableRowText"/>
              <w:spacing w:afterLines="40" w:after="96"/>
            </w:pPr>
            <w:r w:rsidRPr="00394A5B">
              <w:t>Food premises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193AC0" w14:textId="1F2CE48C" w:rsidR="00727E0C" w:rsidRPr="00394A5B" w:rsidRDefault="00727E0C" w:rsidP="00E419A5">
            <w:pPr>
              <w:pStyle w:val="TableText"/>
              <w:spacing w:afterLines="40" w:after="96"/>
            </w:pPr>
            <w:r w:rsidRPr="00394A5B">
              <w:t>41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FAC1F" w14:textId="69DE0BF1" w:rsidR="00727E0C" w:rsidRPr="00394A5B" w:rsidRDefault="00727E0C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 w:rsidRPr="00394A5B">
              <w:rPr>
                <w:sz w:val="22"/>
                <w:szCs w:val="22"/>
              </w:rPr>
              <w:t>2021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9AAE8F8" w14:textId="2B6EF371" w:rsidR="00727E0C" w:rsidRPr="00394A5B" w:rsidRDefault="00E419A5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27E0C" w:rsidRPr="00394A5B">
              <w:rPr>
                <w:sz w:val="22"/>
                <w:szCs w:val="22"/>
              </w:rPr>
              <w:t xml:space="preserve">160.98 </w:t>
            </w:r>
          </w:p>
        </w:tc>
      </w:tr>
      <w:tr w:rsidR="00394A5B" w:rsidRPr="00394A5B" w14:paraId="7E01C27F" w14:textId="77777777" w:rsidTr="001E4877">
        <w:trPr>
          <w:cantSplit/>
          <w:trHeight w:val="284"/>
        </w:trPr>
        <w:tc>
          <w:tcPr>
            <w:tcW w:w="6413" w:type="dxa"/>
            <w:tcBorders>
              <w:top w:val="nil"/>
              <w:bottom w:val="nil"/>
              <w:right w:val="nil"/>
            </w:tcBorders>
            <w:shd w:val="clear" w:color="000000" w:fill="FFFFFF"/>
            <w:hideMark/>
          </w:tcPr>
          <w:p w14:paraId="744BCCBF" w14:textId="77777777" w:rsidR="00727E0C" w:rsidRPr="00394A5B" w:rsidRDefault="00727E0C" w:rsidP="00E419A5">
            <w:pPr>
              <w:pStyle w:val="TableRowText"/>
              <w:spacing w:afterLines="40" w:after="96"/>
            </w:pPr>
            <w:r w:rsidRPr="00394A5B">
              <w:t>Trading premises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FAA21E" w14:textId="32243EC0" w:rsidR="00727E0C" w:rsidRPr="00394A5B" w:rsidRDefault="00727E0C" w:rsidP="00E419A5">
            <w:pPr>
              <w:pStyle w:val="TableText"/>
              <w:spacing w:afterLines="40" w:after="96"/>
            </w:pPr>
            <w:r w:rsidRPr="00394A5B">
              <w:t>42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A0D93" w14:textId="660D5411" w:rsidR="00727E0C" w:rsidRPr="00394A5B" w:rsidRDefault="00727E0C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 w:rsidRPr="00394A5B">
              <w:rPr>
                <w:sz w:val="22"/>
                <w:szCs w:val="22"/>
              </w:rPr>
              <w:t>2021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4578E7B" w14:textId="1A9DF419" w:rsidR="00727E0C" w:rsidRPr="00394A5B" w:rsidRDefault="00E419A5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27E0C" w:rsidRPr="00394A5B">
              <w:rPr>
                <w:sz w:val="22"/>
                <w:szCs w:val="22"/>
              </w:rPr>
              <w:t xml:space="preserve">24.40 </w:t>
            </w:r>
          </w:p>
        </w:tc>
      </w:tr>
      <w:tr w:rsidR="00394A5B" w:rsidRPr="00394A5B" w14:paraId="642FA00C" w14:textId="77777777" w:rsidTr="001E4877">
        <w:trPr>
          <w:cantSplit/>
          <w:trHeight w:val="284"/>
        </w:trPr>
        <w:tc>
          <w:tcPr>
            <w:tcW w:w="6413" w:type="dxa"/>
            <w:tcBorders>
              <w:top w:val="nil"/>
              <w:bottom w:val="nil"/>
              <w:right w:val="nil"/>
            </w:tcBorders>
            <w:shd w:val="clear" w:color="000000" w:fill="FFFFFF"/>
            <w:hideMark/>
          </w:tcPr>
          <w:p w14:paraId="248F7CB9" w14:textId="77777777" w:rsidR="00727E0C" w:rsidRPr="00394A5B" w:rsidRDefault="00727E0C" w:rsidP="00E419A5">
            <w:pPr>
              <w:pStyle w:val="TableRowText"/>
              <w:spacing w:afterLines="40" w:after="96"/>
            </w:pPr>
            <w:r w:rsidRPr="00394A5B">
              <w:t>Land drainage levies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B07EFA" w14:textId="069020A1" w:rsidR="00727E0C" w:rsidRPr="00394A5B" w:rsidRDefault="00727E0C" w:rsidP="00E419A5">
            <w:pPr>
              <w:pStyle w:val="TableText"/>
              <w:spacing w:afterLines="40" w:after="96"/>
            </w:pPr>
            <w:r w:rsidRPr="00394A5B">
              <w:t>43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41863" w14:textId="78CB9E60" w:rsidR="00727E0C" w:rsidRPr="00394A5B" w:rsidRDefault="00727E0C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 w:rsidRPr="00394A5B">
              <w:rPr>
                <w:sz w:val="22"/>
                <w:szCs w:val="22"/>
              </w:rPr>
              <w:t>2021-22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5284018" w14:textId="70E83557" w:rsidR="00727E0C" w:rsidRPr="00394A5B" w:rsidRDefault="00E419A5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27E0C" w:rsidRPr="00394A5B">
              <w:rPr>
                <w:sz w:val="22"/>
                <w:szCs w:val="22"/>
              </w:rPr>
              <w:t xml:space="preserve">1.00 </w:t>
            </w:r>
          </w:p>
        </w:tc>
      </w:tr>
      <w:tr w:rsidR="00394A5B" w:rsidRPr="00394A5B" w14:paraId="762CB97F" w14:textId="77777777" w:rsidTr="001E4877">
        <w:trPr>
          <w:cantSplit/>
          <w:trHeight w:val="284"/>
        </w:trPr>
        <w:tc>
          <w:tcPr>
            <w:tcW w:w="6413" w:type="dxa"/>
            <w:tcBorders>
              <w:top w:val="nil"/>
              <w:bottom w:val="nil"/>
              <w:right w:val="nil"/>
            </w:tcBorders>
            <w:shd w:val="clear" w:color="000000" w:fill="FFFFFF"/>
            <w:hideMark/>
          </w:tcPr>
          <w:p w14:paraId="121BE991" w14:textId="77777777" w:rsidR="00727E0C" w:rsidRPr="00394A5B" w:rsidRDefault="00727E0C" w:rsidP="00E419A5">
            <w:pPr>
              <w:pStyle w:val="TableRowText"/>
              <w:spacing w:afterLines="40" w:after="96"/>
            </w:pPr>
            <w:r w:rsidRPr="00394A5B">
              <w:t>National park levies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DC2728" w14:textId="5E9671ED" w:rsidR="00727E0C" w:rsidRPr="00394A5B" w:rsidRDefault="00727E0C" w:rsidP="00E419A5">
            <w:pPr>
              <w:pStyle w:val="TableText"/>
              <w:spacing w:afterLines="40" w:after="96"/>
            </w:pPr>
            <w:r w:rsidRPr="00394A5B">
              <w:t>44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70E4F" w14:textId="3A95DD05" w:rsidR="00727E0C" w:rsidRPr="00394A5B" w:rsidRDefault="00727E0C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 w:rsidRPr="00394A5B">
              <w:rPr>
                <w:sz w:val="22"/>
                <w:szCs w:val="22"/>
              </w:rPr>
              <w:t>2021-22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84CD24E" w14:textId="72107171" w:rsidR="00727E0C" w:rsidRPr="00394A5B" w:rsidRDefault="00E419A5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27E0C" w:rsidRPr="00394A5B">
              <w:rPr>
                <w:sz w:val="22"/>
                <w:szCs w:val="22"/>
              </w:rPr>
              <w:t xml:space="preserve">1.00 </w:t>
            </w:r>
          </w:p>
        </w:tc>
      </w:tr>
      <w:tr w:rsidR="00394A5B" w:rsidRPr="00394A5B" w14:paraId="2CA70461" w14:textId="77777777" w:rsidTr="001E4877">
        <w:trPr>
          <w:cantSplit/>
          <w:trHeight w:val="284"/>
        </w:trPr>
        <w:tc>
          <w:tcPr>
            <w:tcW w:w="6413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14:paraId="2CD54210" w14:textId="77777777" w:rsidR="00727E0C" w:rsidRPr="00394A5B" w:rsidRDefault="00727E0C" w:rsidP="00E419A5">
            <w:pPr>
              <w:pStyle w:val="TableRowText"/>
              <w:spacing w:afterLines="40" w:after="96"/>
            </w:pPr>
            <w:r w:rsidRPr="00394A5B">
              <w:t>Deprivation Grant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C541C48" w14:textId="4FC2D7D9" w:rsidR="00727E0C" w:rsidRPr="00394A5B" w:rsidRDefault="00727E0C" w:rsidP="00E419A5">
            <w:pPr>
              <w:pStyle w:val="TableText"/>
              <w:spacing w:afterLines="40" w:after="96"/>
            </w:pPr>
            <w:r w:rsidRPr="00394A5B">
              <w:t>45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DC00A" w14:textId="1C455E5C" w:rsidR="00727E0C" w:rsidRPr="00394A5B" w:rsidRDefault="00727E0C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 w:rsidRPr="00394A5B">
              <w:rPr>
                <w:sz w:val="22"/>
                <w:szCs w:val="22"/>
              </w:rPr>
              <w:t>2000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D4CF6DB" w14:textId="6D65BD73" w:rsidR="00727E0C" w:rsidRPr="00394A5B" w:rsidRDefault="00E419A5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27E0C" w:rsidRPr="00394A5B">
              <w:rPr>
                <w:sz w:val="22"/>
                <w:szCs w:val="22"/>
              </w:rPr>
              <w:t xml:space="preserve">1,000.00 </w:t>
            </w:r>
          </w:p>
        </w:tc>
      </w:tr>
      <w:tr w:rsidR="00394A5B" w:rsidRPr="00394A5B" w14:paraId="35770DB4" w14:textId="77777777" w:rsidTr="001E4877">
        <w:trPr>
          <w:cantSplit/>
          <w:trHeight w:val="284"/>
        </w:trPr>
        <w:tc>
          <w:tcPr>
            <w:tcW w:w="6413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14:paraId="1E5FC865" w14:textId="77777777" w:rsidR="00727E0C" w:rsidRPr="00394A5B" w:rsidRDefault="00727E0C" w:rsidP="00E419A5">
            <w:pPr>
              <w:pStyle w:val="TableRowText"/>
              <w:spacing w:afterLines="40" w:after="96"/>
            </w:pPr>
            <w:r w:rsidRPr="00394A5B">
              <w:t>Housing Benefit Recipients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B978549" w14:textId="196DE019" w:rsidR="00727E0C" w:rsidRPr="00394A5B" w:rsidRDefault="00727E0C" w:rsidP="00E419A5">
            <w:pPr>
              <w:pStyle w:val="TableText"/>
              <w:spacing w:afterLines="40" w:after="96"/>
            </w:pPr>
            <w:r w:rsidRPr="00394A5B">
              <w:t>46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11D01" w14:textId="0AD7DA1D" w:rsidR="00727E0C" w:rsidRPr="00394A5B" w:rsidRDefault="00727E0C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 w:rsidRPr="00394A5B">
              <w:rPr>
                <w:sz w:val="22"/>
                <w:szCs w:val="22"/>
              </w:rPr>
              <w:t>2016-2018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D22A73F" w14:textId="676CFF4B" w:rsidR="00727E0C" w:rsidRPr="00394A5B" w:rsidRDefault="00E419A5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27E0C" w:rsidRPr="00394A5B">
              <w:rPr>
                <w:sz w:val="22"/>
                <w:szCs w:val="22"/>
              </w:rPr>
              <w:t xml:space="preserve">46.81 </w:t>
            </w:r>
          </w:p>
        </w:tc>
      </w:tr>
      <w:tr w:rsidR="00394A5B" w:rsidRPr="00394A5B" w14:paraId="7DD5637F" w14:textId="77777777" w:rsidTr="001E4877">
        <w:trPr>
          <w:cantSplit/>
          <w:trHeight w:val="284"/>
        </w:trPr>
        <w:tc>
          <w:tcPr>
            <w:tcW w:w="6413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14:paraId="335588EF" w14:textId="77777777" w:rsidR="00727E0C" w:rsidRPr="00394A5B" w:rsidRDefault="00727E0C" w:rsidP="00E419A5">
            <w:pPr>
              <w:pStyle w:val="TableRowText"/>
              <w:spacing w:afterLines="40" w:after="96"/>
            </w:pPr>
            <w:r w:rsidRPr="00394A5B">
              <w:t>Council Tax Reduction Schemes Expenditure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730ACB" w14:textId="1778ABF1" w:rsidR="00727E0C" w:rsidRPr="00394A5B" w:rsidRDefault="00727E0C" w:rsidP="00E419A5">
            <w:pPr>
              <w:pStyle w:val="TableText"/>
              <w:spacing w:afterLines="40" w:after="96"/>
            </w:pPr>
            <w:r w:rsidRPr="00394A5B">
              <w:t>47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20303" w14:textId="2F6DE133" w:rsidR="00727E0C" w:rsidRPr="00394A5B" w:rsidRDefault="00727E0C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 w:rsidRPr="00394A5B">
              <w:rPr>
                <w:sz w:val="22"/>
                <w:szCs w:val="22"/>
              </w:rPr>
              <w:t>2020-21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3EA47E7" w14:textId="75E91A74" w:rsidR="00727E0C" w:rsidRPr="00394A5B" w:rsidRDefault="00E419A5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27E0C" w:rsidRPr="00394A5B">
              <w:rPr>
                <w:sz w:val="22"/>
                <w:szCs w:val="22"/>
              </w:rPr>
              <w:t xml:space="preserve">0.86 </w:t>
            </w:r>
          </w:p>
        </w:tc>
      </w:tr>
      <w:tr w:rsidR="00394A5B" w:rsidRPr="00394A5B" w14:paraId="22D30AB0" w14:textId="77777777" w:rsidTr="001E4877">
        <w:trPr>
          <w:cantSplit/>
          <w:trHeight w:val="284"/>
        </w:trPr>
        <w:tc>
          <w:tcPr>
            <w:tcW w:w="6413" w:type="dxa"/>
            <w:tcBorders>
              <w:top w:val="nil"/>
              <w:right w:val="nil"/>
            </w:tcBorders>
            <w:shd w:val="clear" w:color="000000" w:fill="FFFFFF"/>
          </w:tcPr>
          <w:p w14:paraId="7E5705A1" w14:textId="77777777" w:rsidR="00727E0C" w:rsidRPr="00394A5B" w:rsidRDefault="00727E0C" w:rsidP="00E419A5">
            <w:pPr>
              <w:pStyle w:val="TableRowText"/>
              <w:spacing w:afterLines="40" w:after="96"/>
            </w:pPr>
            <w:r w:rsidRPr="00394A5B">
              <w:t>Council Tax Reduction Schemes Caseload</w:t>
            </w:r>
          </w:p>
        </w:tc>
        <w:tc>
          <w:tcPr>
            <w:tcW w:w="793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6B7FF37D" w14:textId="5812CD01" w:rsidR="00727E0C" w:rsidRPr="00394A5B" w:rsidRDefault="00727E0C" w:rsidP="00E419A5">
            <w:pPr>
              <w:pStyle w:val="TableText"/>
              <w:spacing w:afterLines="40" w:after="96"/>
            </w:pPr>
            <w:r w:rsidRPr="00394A5B">
              <w:t>48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CE1F2" w14:textId="3A2BE8A8" w:rsidR="00727E0C" w:rsidRPr="00394A5B" w:rsidRDefault="00727E0C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 w:rsidRPr="00394A5B">
              <w:rPr>
                <w:sz w:val="22"/>
                <w:szCs w:val="22"/>
              </w:rPr>
              <w:t>2020-21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164CB2B" w14:textId="06496F5D" w:rsidR="00727E0C" w:rsidRPr="00394A5B" w:rsidRDefault="00E419A5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27E0C" w:rsidRPr="00394A5B">
              <w:rPr>
                <w:sz w:val="22"/>
                <w:szCs w:val="22"/>
              </w:rPr>
              <w:t xml:space="preserve">17.14 </w:t>
            </w:r>
          </w:p>
        </w:tc>
      </w:tr>
      <w:tr w:rsidR="00394A5B" w:rsidRPr="00394A5B" w14:paraId="01D214F8" w14:textId="77777777" w:rsidTr="001E4877">
        <w:trPr>
          <w:cantSplit/>
          <w:trHeight w:val="284"/>
        </w:trPr>
        <w:tc>
          <w:tcPr>
            <w:tcW w:w="6413" w:type="dxa"/>
            <w:tcBorders>
              <w:top w:val="nil"/>
              <w:bottom w:val="single" w:sz="4" w:space="0" w:color="auto"/>
              <w:right w:val="nil"/>
            </w:tcBorders>
            <w:shd w:val="clear" w:color="000000" w:fill="FFFFFF"/>
          </w:tcPr>
          <w:p w14:paraId="154DC227" w14:textId="41F4D389" w:rsidR="008710E3" w:rsidRPr="00394A5B" w:rsidRDefault="008710E3" w:rsidP="00E419A5">
            <w:pPr>
              <w:pStyle w:val="TableRowText"/>
              <w:spacing w:afterLines="40" w:after="96"/>
            </w:pPr>
            <w:r w:rsidRPr="00394A5B">
              <w:t>Gate Fees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31E1F31" w14:textId="5B7198DA" w:rsidR="008710E3" w:rsidRPr="00394A5B" w:rsidRDefault="008710E3" w:rsidP="00E419A5">
            <w:pPr>
              <w:pStyle w:val="TableText"/>
              <w:spacing w:afterLines="40" w:after="96"/>
            </w:pPr>
            <w:r w:rsidRPr="00394A5B">
              <w:t>49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9F9084" w14:textId="6596DD0E" w:rsidR="008710E3" w:rsidRPr="00394A5B" w:rsidRDefault="008710E3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 w:rsidRPr="00394A5B">
              <w:rPr>
                <w:sz w:val="22"/>
                <w:szCs w:val="22"/>
              </w:rPr>
              <w:t>2022-23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77D925" w14:textId="43A2F45B" w:rsidR="008710E3" w:rsidRPr="00394A5B" w:rsidRDefault="008710E3" w:rsidP="00E419A5">
            <w:pPr>
              <w:pStyle w:val="TableText"/>
              <w:spacing w:afterLines="40" w:after="96"/>
              <w:rPr>
                <w:sz w:val="22"/>
                <w:szCs w:val="22"/>
              </w:rPr>
            </w:pPr>
            <w:r w:rsidRPr="00394A5B">
              <w:rPr>
                <w:sz w:val="22"/>
                <w:szCs w:val="22"/>
              </w:rPr>
              <w:t>1</w:t>
            </w:r>
            <w:r w:rsidR="00727E0C" w:rsidRPr="00394A5B">
              <w:rPr>
                <w:sz w:val="22"/>
                <w:szCs w:val="22"/>
              </w:rPr>
              <w:t>.00</w:t>
            </w:r>
          </w:p>
        </w:tc>
      </w:tr>
    </w:tbl>
    <w:p w14:paraId="56439AAE" w14:textId="18A71D5D" w:rsidR="00664DC6" w:rsidRPr="00685827" w:rsidRDefault="009F5F90" w:rsidP="00685827">
      <w:pPr>
        <w:pStyle w:val="Heading3"/>
      </w:pPr>
      <w:r w:rsidRPr="00685827">
        <w:br w:type="page"/>
      </w:r>
      <w:r w:rsidR="00664DC6" w:rsidRPr="00685827">
        <w:t xml:space="preserve">Notes to </w:t>
      </w:r>
      <w:r w:rsidR="00394A5B" w:rsidRPr="00685827">
        <w:t>Table </w:t>
      </w:r>
      <w:r w:rsidR="00664DC6" w:rsidRPr="00685827">
        <w:t>1</w:t>
      </w:r>
    </w:p>
    <w:p w14:paraId="4BA7CA8E" w14:textId="78AA5784" w:rsidR="00664DC6" w:rsidRPr="00394A5B" w:rsidRDefault="00664DC6" w:rsidP="00E05DCD">
      <w:pPr>
        <w:rPr>
          <w:rFonts w:cs="Arial"/>
          <w:b/>
          <w:bCs/>
        </w:rPr>
      </w:pPr>
      <w:r w:rsidRPr="00394A5B">
        <w:rPr>
          <w:rFonts w:cs="Arial"/>
          <w:b/>
          <w:bCs/>
          <w:szCs w:val="24"/>
        </w:rPr>
        <w:t xml:space="preserve">Definitions of </w:t>
      </w:r>
      <w:r w:rsidR="00782621" w:rsidRPr="00394A5B">
        <w:rPr>
          <w:rFonts w:cs="Arial"/>
          <w:b/>
          <w:bCs/>
          <w:szCs w:val="24"/>
        </w:rPr>
        <w:t xml:space="preserve">Indicators </w:t>
      </w:r>
      <w:r w:rsidRPr="00394A5B">
        <w:rPr>
          <w:rFonts w:cs="Arial"/>
          <w:b/>
          <w:bCs/>
          <w:szCs w:val="24"/>
        </w:rPr>
        <w:t xml:space="preserve">used in </w:t>
      </w:r>
      <w:r w:rsidR="00685827">
        <w:rPr>
          <w:rFonts w:cs="Arial"/>
          <w:b/>
          <w:bCs/>
          <w:szCs w:val="24"/>
        </w:rPr>
        <w:t>the </w:t>
      </w:r>
      <w:r w:rsidR="00782621" w:rsidRPr="00394A5B">
        <w:rPr>
          <w:rFonts w:cs="Arial"/>
          <w:b/>
          <w:bCs/>
          <w:szCs w:val="24"/>
        </w:rPr>
        <w:t xml:space="preserve">Calculation </w:t>
      </w:r>
      <w:r w:rsidRPr="00394A5B">
        <w:rPr>
          <w:rFonts w:cs="Arial"/>
          <w:b/>
          <w:bCs/>
          <w:szCs w:val="24"/>
        </w:rPr>
        <w:t xml:space="preserve">of </w:t>
      </w:r>
      <w:r w:rsidR="00782621" w:rsidRPr="00394A5B">
        <w:rPr>
          <w:rFonts w:cs="Arial"/>
          <w:b/>
          <w:bCs/>
          <w:szCs w:val="24"/>
        </w:rPr>
        <w:t xml:space="preserve">Council </w:t>
      </w:r>
      <w:r w:rsidR="00612E46" w:rsidRPr="00394A5B">
        <w:rPr>
          <w:rFonts w:cs="Arial"/>
          <w:b/>
          <w:bCs/>
          <w:szCs w:val="24"/>
        </w:rPr>
        <w:t>SSA</w:t>
      </w:r>
      <w:r w:rsidRPr="00394A5B">
        <w:rPr>
          <w:rFonts w:cs="Arial"/>
          <w:b/>
          <w:bCs/>
          <w:szCs w:val="24"/>
        </w:rPr>
        <w:t>s</w:t>
      </w:r>
      <w:r w:rsidR="00891503" w:rsidRPr="00394A5B">
        <w:rPr>
          <w:rFonts w:cs="Arial"/>
          <w:b/>
          <w:bCs/>
          <w:szCs w:val="24"/>
        </w:rPr>
        <w:t xml:space="preserve"> </w:t>
      </w:r>
    </w:p>
    <w:p w14:paraId="7F1284C5" w14:textId="77777777" w:rsidR="00664DC6" w:rsidRPr="00394A5B" w:rsidRDefault="00664DC6" w:rsidP="003D4E26">
      <w:pPr>
        <w:pStyle w:val="Header"/>
        <w:widowControl w:val="0"/>
        <w:tabs>
          <w:tab w:val="clear" w:pos="4153"/>
          <w:tab w:val="clear" w:pos="8306"/>
        </w:tabs>
        <w:rPr>
          <w:rFonts w:cs="Arial"/>
          <w:b/>
          <w:i/>
        </w:rPr>
      </w:pPr>
      <w:r w:rsidRPr="00394A5B">
        <w:rPr>
          <w:rFonts w:cs="Arial"/>
          <w:i/>
        </w:rPr>
        <w:t>[</w:t>
      </w:r>
      <w:r w:rsidR="00891503" w:rsidRPr="00394A5B">
        <w:rPr>
          <w:rFonts w:cs="Arial"/>
          <w:i/>
        </w:rPr>
        <w:t>Note</w:t>
      </w:r>
      <w:r w:rsidRPr="00394A5B">
        <w:rPr>
          <w:rFonts w:cs="Arial"/>
          <w:i/>
        </w:rPr>
        <w:t xml:space="preserve">: references to forms used to collect statistical data are </w:t>
      </w:r>
      <w:r w:rsidR="003265D9" w:rsidRPr="00394A5B">
        <w:rPr>
          <w:rFonts w:cs="Arial"/>
          <w:i/>
        </w:rPr>
        <w:t>Welsh</w:t>
      </w:r>
      <w:r w:rsidR="00C60C26" w:rsidRPr="00394A5B">
        <w:rPr>
          <w:rFonts w:cs="Arial"/>
          <w:i/>
        </w:rPr>
        <w:t xml:space="preserve"> </w:t>
      </w:r>
      <w:r w:rsidR="00216421" w:rsidRPr="00394A5B">
        <w:rPr>
          <w:rFonts w:cs="Arial"/>
          <w:i/>
        </w:rPr>
        <w:t xml:space="preserve">Government </w:t>
      </w:r>
      <w:r w:rsidRPr="00394A5B">
        <w:rPr>
          <w:rFonts w:cs="Arial"/>
          <w:i/>
        </w:rPr>
        <w:t>forms]</w:t>
      </w:r>
    </w:p>
    <w:p w14:paraId="36ABA87D" w14:textId="77777777" w:rsidR="00664DC6" w:rsidRPr="00394A5B" w:rsidRDefault="00664DC6" w:rsidP="00257F83">
      <w:pPr>
        <w:keepNext/>
        <w:keepLines/>
        <w:widowControl w:val="0"/>
        <w:numPr>
          <w:ilvl w:val="0"/>
          <w:numId w:val="27"/>
        </w:numPr>
        <w:spacing w:after="60"/>
        <w:ind w:left="567" w:hanging="567"/>
        <w:rPr>
          <w:rFonts w:cs="Arial"/>
        </w:rPr>
      </w:pPr>
      <w:r w:rsidRPr="00394A5B">
        <w:rPr>
          <w:rFonts w:cs="Arial"/>
          <w:i/>
        </w:rPr>
        <w:t>Population</w:t>
      </w:r>
    </w:p>
    <w:p w14:paraId="726B9860" w14:textId="441BB3B3" w:rsidR="00664DC6" w:rsidRPr="00394A5B" w:rsidRDefault="00953F0C" w:rsidP="003D4E26">
      <w:pPr>
        <w:widowControl w:val="0"/>
        <w:rPr>
          <w:rFonts w:cs="Arial"/>
        </w:rPr>
      </w:pPr>
      <w:r w:rsidRPr="00394A5B">
        <w:rPr>
          <w:rFonts w:cs="Arial"/>
        </w:rPr>
        <w:t xml:space="preserve">For </w:t>
      </w:r>
      <w:r w:rsidR="00685827">
        <w:rPr>
          <w:rFonts w:cs="Arial"/>
        </w:rPr>
        <w:t>the </w:t>
      </w:r>
      <w:r w:rsidRPr="00394A5B">
        <w:rPr>
          <w:rFonts w:cs="Arial"/>
        </w:rPr>
        <w:t xml:space="preserve">purpose of this Report, </w:t>
      </w:r>
      <w:r w:rsidR="00685827">
        <w:rPr>
          <w:rFonts w:cs="Arial"/>
        </w:rPr>
        <w:t>the </w:t>
      </w:r>
      <w:r w:rsidRPr="00394A5B">
        <w:rPr>
          <w:rFonts w:cs="Arial"/>
        </w:rPr>
        <w:t xml:space="preserve">population of an area and, except where otherwise indicated, </w:t>
      </w:r>
      <w:r w:rsidR="00685827">
        <w:rPr>
          <w:rFonts w:cs="Arial"/>
        </w:rPr>
        <w:t>the </w:t>
      </w:r>
      <w:r w:rsidRPr="00394A5B">
        <w:rPr>
          <w:rFonts w:cs="Arial"/>
        </w:rPr>
        <w:t xml:space="preserve">number of persons of any description in an area shall be </w:t>
      </w:r>
      <w:r w:rsidR="00685827">
        <w:rPr>
          <w:rFonts w:cs="Arial"/>
        </w:rPr>
        <w:t>the </w:t>
      </w:r>
      <w:r w:rsidRPr="00394A5B">
        <w:rPr>
          <w:rFonts w:cs="Arial"/>
        </w:rPr>
        <w:t xml:space="preserve">2018-based projected number at 30 June of </w:t>
      </w:r>
      <w:r w:rsidR="00685827">
        <w:rPr>
          <w:rFonts w:cs="Arial"/>
        </w:rPr>
        <w:t>the </w:t>
      </w:r>
      <w:r w:rsidRPr="00394A5B">
        <w:rPr>
          <w:rFonts w:cs="Arial"/>
        </w:rPr>
        <w:t xml:space="preserve">data year as calculated by </w:t>
      </w:r>
      <w:r w:rsidR="00685827">
        <w:rPr>
          <w:rFonts w:cs="Arial"/>
        </w:rPr>
        <w:t>the </w:t>
      </w:r>
      <w:r w:rsidRPr="00394A5B">
        <w:rPr>
          <w:rFonts w:cs="Arial"/>
        </w:rPr>
        <w:t xml:space="preserve">Welsh Government as usually resident in that area or </w:t>
      </w:r>
      <w:r w:rsidR="00685827">
        <w:rPr>
          <w:rFonts w:cs="Arial"/>
        </w:rPr>
        <w:t>the </w:t>
      </w:r>
      <w:r w:rsidRPr="00394A5B">
        <w:rPr>
          <w:rFonts w:cs="Arial"/>
        </w:rPr>
        <w:t xml:space="preserve">number derived from those projections. In addition, Wrexham’s population projections have added to them an estimate of </w:t>
      </w:r>
      <w:r w:rsidR="00685827">
        <w:rPr>
          <w:rFonts w:cs="Arial"/>
        </w:rPr>
        <w:t>the </w:t>
      </w:r>
      <w:r w:rsidRPr="00394A5B">
        <w:rPr>
          <w:rFonts w:cs="Arial"/>
        </w:rPr>
        <w:t xml:space="preserve">prison population for HMP Berwyn, taken from </w:t>
      </w:r>
      <w:r w:rsidR="00685827">
        <w:rPr>
          <w:rFonts w:cs="Arial"/>
        </w:rPr>
        <w:t>the </w:t>
      </w:r>
      <w:r w:rsidR="00114479" w:rsidRPr="00394A5B">
        <w:rPr>
          <w:rFonts w:cs="Arial"/>
        </w:rPr>
        <w:t>June</w:t>
      </w:r>
      <w:r w:rsidRPr="00394A5B">
        <w:rPr>
          <w:rFonts w:cs="Arial"/>
        </w:rPr>
        <w:t xml:space="preserve"> prior to </w:t>
      </w:r>
      <w:r w:rsidR="00685827">
        <w:rPr>
          <w:rFonts w:cs="Arial"/>
        </w:rPr>
        <w:t>the </w:t>
      </w:r>
      <w:r w:rsidRPr="00394A5B">
        <w:rPr>
          <w:rFonts w:cs="Arial"/>
        </w:rPr>
        <w:t xml:space="preserve">data year (Ministry of Justice statistics) and apportioned across </w:t>
      </w:r>
      <w:r w:rsidR="00685827">
        <w:rPr>
          <w:rFonts w:cs="Arial"/>
        </w:rPr>
        <w:t>the </w:t>
      </w:r>
      <w:r w:rsidRPr="00394A5B">
        <w:rPr>
          <w:rFonts w:cs="Arial"/>
        </w:rPr>
        <w:t xml:space="preserve">age groups according to </w:t>
      </w:r>
      <w:r w:rsidR="00685827">
        <w:rPr>
          <w:rFonts w:cs="Arial"/>
        </w:rPr>
        <w:t>the </w:t>
      </w:r>
      <w:r w:rsidRPr="00394A5B">
        <w:rPr>
          <w:rFonts w:cs="Arial"/>
        </w:rPr>
        <w:t xml:space="preserve">average proportion of male prisoners across </w:t>
      </w:r>
      <w:r w:rsidR="00685827">
        <w:rPr>
          <w:rFonts w:cs="Arial"/>
        </w:rPr>
        <w:t>the </w:t>
      </w:r>
      <w:r w:rsidRPr="00394A5B">
        <w:rPr>
          <w:rFonts w:cs="Arial"/>
        </w:rPr>
        <w:t xml:space="preserve">UK for </w:t>
      </w:r>
      <w:r w:rsidR="00685827">
        <w:rPr>
          <w:rFonts w:cs="Arial"/>
        </w:rPr>
        <w:t>the </w:t>
      </w:r>
      <w:r w:rsidRPr="00394A5B">
        <w:rPr>
          <w:rFonts w:cs="Arial"/>
        </w:rPr>
        <w:t xml:space="preserve">year ending </w:t>
      </w:r>
      <w:r w:rsidR="006C31C8" w:rsidRPr="00394A5B">
        <w:rPr>
          <w:rFonts w:cs="Arial"/>
        </w:rPr>
        <w:t xml:space="preserve">June </w:t>
      </w:r>
      <w:r w:rsidRPr="00394A5B">
        <w:rPr>
          <w:rFonts w:cs="Arial"/>
        </w:rPr>
        <w:t xml:space="preserve">prior to </w:t>
      </w:r>
      <w:r w:rsidR="00685827">
        <w:rPr>
          <w:rFonts w:cs="Arial"/>
        </w:rPr>
        <w:t>the </w:t>
      </w:r>
      <w:r w:rsidRPr="00394A5B">
        <w:rPr>
          <w:rFonts w:cs="Arial"/>
        </w:rPr>
        <w:t>data year (Ministry of Justice statistics).</w:t>
      </w:r>
    </w:p>
    <w:p w14:paraId="324A614F" w14:textId="77777777" w:rsidR="00664DC6" w:rsidRPr="00394A5B" w:rsidRDefault="00664DC6" w:rsidP="00257F83">
      <w:pPr>
        <w:keepNext/>
        <w:keepLines/>
        <w:widowControl w:val="0"/>
        <w:numPr>
          <w:ilvl w:val="0"/>
          <w:numId w:val="27"/>
        </w:numPr>
        <w:spacing w:after="60"/>
        <w:ind w:left="567" w:hanging="567"/>
        <w:rPr>
          <w:rFonts w:cs="Arial"/>
        </w:rPr>
      </w:pPr>
      <w:r w:rsidRPr="00394A5B">
        <w:rPr>
          <w:rFonts w:cs="Arial"/>
          <w:i/>
        </w:rPr>
        <w:t xml:space="preserve">Population aged 11 to 15 and secondary school pupils </w:t>
      </w:r>
      <w:r w:rsidR="0016122C" w:rsidRPr="00394A5B">
        <w:rPr>
          <w:rFonts w:cs="Arial"/>
          <w:i/>
        </w:rPr>
        <w:t>in year groups</w:t>
      </w:r>
      <w:r w:rsidRPr="00394A5B">
        <w:rPr>
          <w:rFonts w:cs="Arial"/>
          <w:i/>
        </w:rPr>
        <w:t xml:space="preserve"> </w:t>
      </w:r>
      <w:r w:rsidR="0016122C" w:rsidRPr="00394A5B">
        <w:rPr>
          <w:rFonts w:cs="Arial"/>
          <w:i/>
        </w:rPr>
        <w:t xml:space="preserve">12 </w:t>
      </w:r>
      <w:r w:rsidRPr="00394A5B">
        <w:rPr>
          <w:rFonts w:cs="Arial"/>
          <w:i/>
        </w:rPr>
        <w:t xml:space="preserve">to </w:t>
      </w:r>
      <w:r w:rsidR="0016122C" w:rsidRPr="00394A5B">
        <w:rPr>
          <w:rFonts w:cs="Arial"/>
          <w:i/>
        </w:rPr>
        <w:t>14</w:t>
      </w:r>
    </w:p>
    <w:p w14:paraId="6A83D08A" w14:textId="6471F59B" w:rsidR="00664DC6" w:rsidRPr="00394A5B" w:rsidRDefault="00394A5B" w:rsidP="003D4E26">
      <w:pPr>
        <w:widowControl w:val="0"/>
        <w:rPr>
          <w:rFonts w:cs="Arial"/>
        </w:rPr>
      </w:pPr>
      <w:r>
        <w:rPr>
          <w:rFonts w:cs="Arial"/>
        </w:rPr>
        <w:t>The </w:t>
      </w:r>
      <w:r w:rsidR="00664DC6" w:rsidRPr="00394A5B">
        <w:rPr>
          <w:rFonts w:cs="Arial"/>
        </w:rPr>
        <w:t xml:space="preserve">population of </w:t>
      </w:r>
      <w:r w:rsidR="00685827">
        <w:rPr>
          <w:rFonts w:cs="Arial"/>
        </w:rPr>
        <w:t>the </w:t>
      </w:r>
      <w:r w:rsidR="00CB2EF6" w:rsidRPr="00394A5B">
        <w:rPr>
          <w:rFonts w:cs="Arial"/>
        </w:rPr>
        <w:t>C</w:t>
      </w:r>
      <w:r w:rsidR="00664DC6" w:rsidRPr="00394A5B">
        <w:rPr>
          <w:rFonts w:cs="Arial"/>
        </w:rPr>
        <w:t xml:space="preserve">ouncil area (see note 1) plus </w:t>
      </w:r>
      <w:r w:rsidR="00685827">
        <w:rPr>
          <w:rFonts w:cs="Arial"/>
        </w:rPr>
        <w:t>the </w:t>
      </w:r>
      <w:r w:rsidR="00664DC6" w:rsidRPr="00394A5B">
        <w:rPr>
          <w:rFonts w:cs="Arial"/>
        </w:rPr>
        <w:t xml:space="preserve">number of pupils at </w:t>
      </w:r>
      <w:r w:rsidR="008710E3" w:rsidRPr="00394A5B">
        <w:rPr>
          <w:rFonts w:cs="Arial"/>
        </w:rPr>
        <w:t>April</w:t>
      </w:r>
      <w:r w:rsidR="00664DC6" w:rsidRPr="00394A5B">
        <w:rPr>
          <w:rFonts w:cs="Arial"/>
        </w:rPr>
        <w:t xml:space="preserve"> of </w:t>
      </w:r>
      <w:r w:rsidR="00685827">
        <w:rPr>
          <w:rFonts w:cs="Arial"/>
        </w:rPr>
        <w:t>the </w:t>
      </w:r>
      <w:r w:rsidR="00C60C26" w:rsidRPr="00394A5B">
        <w:rPr>
          <w:rFonts w:cs="Arial"/>
        </w:rPr>
        <w:t xml:space="preserve">PLASC </w:t>
      </w:r>
      <w:r w:rsidR="00664DC6" w:rsidRPr="00394A5B">
        <w:rPr>
          <w:rFonts w:cs="Arial"/>
        </w:rPr>
        <w:t xml:space="preserve">data year </w:t>
      </w:r>
      <w:r w:rsidR="0016122C" w:rsidRPr="00394A5B">
        <w:rPr>
          <w:rFonts w:cs="Arial"/>
        </w:rPr>
        <w:t xml:space="preserve">in year groups 12 </w:t>
      </w:r>
      <w:r w:rsidR="00664DC6" w:rsidRPr="00394A5B">
        <w:rPr>
          <w:rFonts w:cs="Arial"/>
        </w:rPr>
        <w:t xml:space="preserve">to </w:t>
      </w:r>
      <w:r w:rsidR="0016122C" w:rsidRPr="00394A5B">
        <w:rPr>
          <w:rFonts w:cs="Arial"/>
        </w:rPr>
        <w:t xml:space="preserve">14 </w:t>
      </w:r>
      <w:r w:rsidR="00664DC6" w:rsidRPr="00394A5B">
        <w:rPr>
          <w:rFonts w:cs="Arial"/>
        </w:rPr>
        <w:t xml:space="preserve">at maintained secondary schools in </w:t>
      </w:r>
      <w:r w:rsidR="00685827">
        <w:rPr>
          <w:rFonts w:cs="Arial"/>
        </w:rPr>
        <w:t>the </w:t>
      </w:r>
      <w:r w:rsidR="00331BCC" w:rsidRPr="00394A5B">
        <w:rPr>
          <w:rFonts w:cs="Arial"/>
        </w:rPr>
        <w:t>C</w:t>
      </w:r>
      <w:r w:rsidR="00664DC6" w:rsidRPr="00394A5B">
        <w:rPr>
          <w:rFonts w:cs="Arial"/>
        </w:rPr>
        <w:t xml:space="preserve">ouncil area (aggregated from information reported by maintained schools on </w:t>
      </w:r>
      <w:r w:rsidR="00685827">
        <w:rPr>
          <w:rFonts w:cs="Arial"/>
        </w:rPr>
        <w:t>the </w:t>
      </w:r>
      <w:r w:rsidR="00664DC6" w:rsidRPr="00394A5B">
        <w:rPr>
          <w:rFonts w:cs="Arial"/>
        </w:rPr>
        <w:t xml:space="preserve">Pupil Level Annual School Census (PLASC) return, and information from </w:t>
      </w:r>
      <w:r w:rsidR="00331BCC" w:rsidRPr="00394A5B">
        <w:rPr>
          <w:rFonts w:cs="Arial"/>
        </w:rPr>
        <w:t>C</w:t>
      </w:r>
      <w:r w:rsidR="00664DC6" w:rsidRPr="00394A5B">
        <w:rPr>
          <w:rFonts w:cs="Arial"/>
        </w:rPr>
        <w:t>ouncils)</w:t>
      </w:r>
      <w:r w:rsidR="00C60C26" w:rsidRPr="00394A5B">
        <w:rPr>
          <w:rFonts w:cs="Arial"/>
        </w:rPr>
        <w:t xml:space="preserve"> </w:t>
      </w:r>
      <w:r w:rsidR="008D436B" w:rsidRPr="00394A5B">
        <w:rPr>
          <w:rFonts w:cs="Arial"/>
        </w:rPr>
        <w:t>plus</w:t>
      </w:r>
      <w:r w:rsidR="00C60C26" w:rsidRPr="00394A5B">
        <w:rPr>
          <w:rFonts w:cs="Arial"/>
        </w:rPr>
        <w:t xml:space="preserve"> those Educated Other Than At School (EOTAS)</w:t>
      </w:r>
      <w:r w:rsidR="00114479" w:rsidRPr="00394A5B">
        <w:rPr>
          <w:rFonts w:cs="Arial"/>
        </w:rPr>
        <w:t xml:space="preserve"> </w:t>
      </w:r>
      <w:r w:rsidR="009E1EE8" w:rsidRPr="00394A5B">
        <w:rPr>
          <w:rFonts w:cs="Arial"/>
        </w:rPr>
        <w:t xml:space="preserve">as at </w:t>
      </w:r>
      <w:r w:rsidR="008710E3" w:rsidRPr="00394A5B">
        <w:rPr>
          <w:rFonts w:cs="Arial"/>
        </w:rPr>
        <w:t>April 2021</w:t>
      </w:r>
      <w:r w:rsidR="00664DC6" w:rsidRPr="00394A5B">
        <w:rPr>
          <w:rFonts w:cs="Arial"/>
        </w:rPr>
        <w:t>.</w:t>
      </w:r>
    </w:p>
    <w:p w14:paraId="154CDC8B" w14:textId="77777777" w:rsidR="00664DC6" w:rsidRPr="00394A5B" w:rsidRDefault="00664DC6" w:rsidP="00257F83">
      <w:pPr>
        <w:keepNext/>
        <w:keepLines/>
        <w:widowControl w:val="0"/>
        <w:numPr>
          <w:ilvl w:val="0"/>
          <w:numId w:val="27"/>
        </w:numPr>
        <w:spacing w:after="60"/>
        <w:ind w:left="567" w:hanging="567"/>
        <w:rPr>
          <w:rFonts w:cs="Arial"/>
        </w:rPr>
      </w:pPr>
      <w:r w:rsidRPr="00394A5B">
        <w:rPr>
          <w:rFonts w:cs="Arial"/>
          <w:i/>
        </w:rPr>
        <w:t>Population aged 16 to 18 other than at school</w:t>
      </w:r>
    </w:p>
    <w:p w14:paraId="40B570D3" w14:textId="45D0BEC3" w:rsidR="00664DC6" w:rsidRPr="00394A5B" w:rsidRDefault="00394A5B" w:rsidP="003D4E26">
      <w:pPr>
        <w:widowControl w:val="0"/>
        <w:rPr>
          <w:rFonts w:cs="Arial"/>
        </w:rPr>
      </w:pPr>
      <w:r>
        <w:rPr>
          <w:rFonts w:cs="Arial"/>
        </w:rPr>
        <w:t>The </w:t>
      </w:r>
      <w:r w:rsidR="00100825" w:rsidRPr="00394A5B">
        <w:rPr>
          <w:rFonts w:cs="Arial"/>
        </w:rPr>
        <w:t xml:space="preserve">projected </w:t>
      </w:r>
      <w:r w:rsidR="00664DC6" w:rsidRPr="00394A5B">
        <w:rPr>
          <w:rFonts w:cs="Arial"/>
        </w:rPr>
        <w:t xml:space="preserve">population of </w:t>
      </w:r>
      <w:r w:rsidR="00685827">
        <w:rPr>
          <w:rFonts w:cs="Arial"/>
        </w:rPr>
        <w:t>the </w:t>
      </w:r>
      <w:r w:rsidR="00331BCC" w:rsidRPr="00394A5B">
        <w:rPr>
          <w:rFonts w:cs="Arial"/>
        </w:rPr>
        <w:t>C</w:t>
      </w:r>
      <w:r w:rsidR="00664DC6" w:rsidRPr="00394A5B">
        <w:rPr>
          <w:rFonts w:cs="Arial"/>
        </w:rPr>
        <w:t xml:space="preserve">ouncil area (see note 1) less </w:t>
      </w:r>
      <w:r w:rsidR="00685827">
        <w:rPr>
          <w:rFonts w:cs="Arial"/>
        </w:rPr>
        <w:t>the </w:t>
      </w:r>
      <w:r w:rsidR="00664DC6" w:rsidRPr="00394A5B">
        <w:rPr>
          <w:rFonts w:cs="Arial"/>
        </w:rPr>
        <w:t>number o</w:t>
      </w:r>
      <w:r w:rsidR="00100825" w:rsidRPr="00394A5B">
        <w:rPr>
          <w:rFonts w:cs="Arial"/>
        </w:rPr>
        <w:t xml:space="preserve">f pupils at </w:t>
      </w:r>
      <w:r w:rsidR="008710E3" w:rsidRPr="00394A5B">
        <w:rPr>
          <w:rFonts w:cs="Arial"/>
        </w:rPr>
        <w:t>April</w:t>
      </w:r>
      <w:r w:rsidR="00100825" w:rsidRPr="00394A5B">
        <w:rPr>
          <w:rFonts w:cs="Arial"/>
        </w:rPr>
        <w:t xml:space="preserve"> of </w:t>
      </w:r>
      <w:r w:rsidR="00685827">
        <w:rPr>
          <w:rFonts w:cs="Arial"/>
        </w:rPr>
        <w:t>the </w:t>
      </w:r>
      <w:r w:rsidR="00100825" w:rsidRPr="00394A5B">
        <w:rPr>
          <w:rFonts w:cs="Arial"/>
        </w:rPr>
        <w:t>PLASC</w:t>
      </w:r>
      <w:r w:rsidR="00664DC6" w:rsidRPr="00394A5B">
        <w:rPr>
          <w:rFonts w:cs="Arial"/>
        </w:rPr>
        <w:t xml:space="preserve"> data year </w:t>
      </w:r>
      <w:r w:rsidR="00100825" w:rsidRPr="00394A5B">
        <w:rPr>
          <w:rFonts w:cs="Arial"/>
        </w:rPr>
        <w:t>in year groups 12 to 14</w:t>
      </w:r>
      <w:r w:rsidR="00664DC6" w:rsidRPr="00394A5B">
        <w:rPr>
          <w:rFonts w:cs="Arial"/>
        </w:rPr>
        <w:t xml:space="preserve"> at maintained secondary schools in </w:t>
      </w:r>
      <w:r w:rsidR="00685827">
        <w:rPr>
          <w:rFonts w:cs="Arial"/>
        </w:rPr>
        <w:t>the </w:t>
      </w:r>
      <w:r w:rsidR="00331BCC" w:rsidRPr="00394A5B">
        <w:rPr>
          <w:rFonts w:cs="Arial"/>
        </w:rPr>
        <w:t>C</w:t>
      </w:r>
      <w:r w:rsidR="00664DC6" w:rsidRPr="00394A5B">
        <w:rPr>
          <w:rFonts w:cs="Arial"/>
        </w:rPr>
        <w:t xml:space="preserve">ouncil area (aggregated from information reported by maintained schools </w:t>
      </w:r>
      <w:r w:rsidR="00685827">
        <w:rPr>
          <w:rFonts w:cs="Arial"/>
        </w:rPr>
        <w:t>the </w:t>
      </w:r>
      <w:r w:rsidR="00664DC6" w:rsidRPr="00394A5B">
        <w:rPr>
          <w:rFonts w:cs="Arial"/>
        </w:rPr>
        <w:t xml:space="preserve">PLASC return, and information from </w:t>
      </w:r>
      <w:r w:rsidR="00331BCC" w:rsidRPr="00394A5B">
        <w:rPr>
          <w:rFonts w:cs="Arial"/>
        </w:rPr>
        <w:t>C</w:t>
      </w:r>
      <w:r w:rsidR="00664DC6" w:rsidRPr="00394A5B">
        <w:rPr>
          <w:rFonts w:cs="Arial"/>
        </w:rPr>
        <w:t>ouncils)</w:t>
      </w:r>
      <w:r w:rsidR="00C60C26" w:rsidRPr="00394A5B">
        <w:rPr>
          <w:rFonts w:cs="Arial"/>
        </w:rPr>
        <w:t xml:space="preserve"> </w:t>
      </w:r>
      <w:r w:rsidR="008D436B" w:rsidRPr="00394A5B">
        <w:rPr>
          <w:rFonts w:cs="Arial"/>
        </w:rPr>
        <w:t>plus</w:t>
      </w:r>
      <w:r w:rsidR="00C60C26" w:rsidRPr="00394A5B">
        <w:rPr>
          <w:rFonts w:cs="Arial"/>
        </w:rPr>
        <w:t xml:space="preserve"> those EOTAS</w:t>
      </w:r>
      <w:r w:rsidR="00EC4A63" w:rsidRPr="00394A5B">
        <w:rPr>
          <w:rFonts w:cs="Arial"/>
        </w:rPr>
        <w:t xml:space="preserve"> </w:t>
      </w:r>
      <w:r w:rsidR="009E1EE8" w:rsidRPr="00394A5B">
        <w:rPr>
          <w:rFonts w:cs="Arial"/>
        </w:rPr>
        <w:t xml:space="preserve">as at </w:t>
      </w:r>
      <w:r w:rsidR="008710E3" w:rsidRPr="00394A5B">
        <w:rPr>
          <w:rFonts w:cs="Arial"/>
        </w:rPr>
        <w:t>April</w:t>
      </w:r>
      <w:r w:rsidR="009E1EE8" w:rsidRPr="00394A5B">
        <w:rPr>
          <w:rFonts w:cs="Arial"/>
        </w:rPr>
        <w:t xml:space="preserve"> 20</w:t>
      </w:r>
      <w:r w:rsidR="008710E3" w:rsidRPr="00394A5B">
        <w:rPr>
          <w:rFonts w:cs="Arial"/>
        </w:rPr>
        <w:t>21</w:t>
      </w:r>
      <w:r w:rsidR="00664DC6" w:rsidRPr="00394A5B">
        <w:rPr>
          <w:rFonts w:cs="Arial"/>
        </w:rPr>
        <w:t>.</w:t>
      </w:r>
    </w:p>
    <w:p w14:paraId="672510F8" w14:textId="77777777" w:rsidR="00664DC6" w:rsidRPr="00394A5B" w:rsidRDefault="00664DC6" w:rsidP="00257F83">
      <w:pPr>
        <w:keepNext/>
        <w:keepLines/>
        <w:widowControl w:val="0"/>
        <w:numPr>
          <w:ilvl w:val="0"/>
          <w:numId w:val="27"/>
        </w:numPr>
        <w:spacing w:after="60"/>
        <w:ind w:left="567" w:hanging="567"/>
        <w:rPr>
          <w:rFonts w:cs="Arial"/>
        </w:rPr>
      </w:pPr>
      <w:r w:rsidRPr="00394A5B">
        <w:rPr>
          <w:rFonts w:cs="Arial"/>
          <w:i/>
        </w:rPr>
        <w:t>Enhanced population</w:t>
      </w:r>
    </w:p>
    <w:p w14:paraId="1408DEF3" w14:textId="7FBC33C6" w:rsidR="00664DC6" w:rsidRPr="00394A5B" w:rsidRDefault="00394A5B" w:rsidP="003D4E26">
      <w:pPr>
        <w:widowControl w:val="0"/>
        <w:rPr>
          <w:rFonts w:cs="Arial"/>
        </w:rPr>
      </w:pPr>
      <w:r>
        <w:rPr>
          <w:rFonts w:cs="Arial"/>
        </w:rPr>
        <w:t>The </w:t>
      </w:r>
      <w:r w:rsidR="00664DC6" w:rsidRPr="00394A5B">
        <w:rPr>
          <w:rFonts w:cs="Arial"/>
        </w:rPr>
        <w:t xml:space="preserve">total population of </w:t>
      </w:r>
      <w:r w:rsidR="00685827">
        <w:rPr>
          <w:rFonts w:cs="Arial"/>
        </w:rPr>
        <w:t>the </w:t>
      </w:r>
      <w:r w:rsidR="00331BCC" w:rsidRPr="00394A5B">
        <w:rPr>
          <w:rFonts w:cs="Arial"/>
        </w:rPr>
        <w:t>C</w:t>
      </w:r>
      <w:r w:rsidR="00664DC6" w:rsidRPr="00394A5B">
        <w:rPr>
          <w:rFonts w:cs="Arial"/>
        </w:rPr>
        <w:t xml:space="preserve">ouncil area (see note 1) plus </w:t>
      </w:r>
      <w:r w:rsidR="00685827">
        <w:rPr>
          <w:rFonts w:cs="Arial"/>
        </w:rPr>
        <w:t>the </w:t>
      </w:r>
      <w:r w:rsidR="008B20CD" w:rsidRPr="00394A5B">
        <w:rPr>
          <w:rFonts w:cs="Arial"/>
        </w:rPr>
        <w:t xml:space="preserve">average nightly </w:t>
      </w:r>
      <w:r w:rsidR="00664DC6" w:rsidRPr="00394A5B">
        <w:rPr>
          <w:rFonts w:cs="Arial"/>
        </w:rPr>
        <w:t xml:space="preserve">number of overnight visitors </w:t>
      </w:r>
      <w:r w:rsidR="005E25F7" w:rsidRPr="00394A5B">
        <w:rPr>
          <w:rFonts w:cs="Arial"/>
        </w:rPr>
        <w:t xml:space="preserve">(including AirBnB stays) </w:t>
      </w:r>
      <w:r w:rsidR="00664DC6" w:rsidRPr="00394A5B">
        <w:rPr>
          <w:rFonts w:cs="Arial"/>
        </w:rPr>
        <w:t xml:space="preserve">from within and outside </w:t>
      </w:r>
      <w:r w:rsidR="00685827">
        <w:rPr>
          <w:rFonts w:cs="Arial"/>
        </w:rPr>
        <w:t>the </w:t>
      </w:r>
      <w:r w:rsidR="00664DC6" w:rsidRPr="00394A5B">
        <w:rPr>
          <w:rFonts w:cs="Arial"/>
        </w:rPr>
        <w:t xml:space="preserve">United Kingdom and </w:t>
      </w:r>
      <w:r w:rsidR="00685827">
        <w:rPr>
          <w:rFonts w:cs="Arial"/>
        </w:rPr>
        <w:t>the </w:t>
      </w:r>
      <w:r w:rsidR="008B20CD" w:rsidRPr="00394A5B">
        <w:rPr>
          <w:rFonts w:cs="Arial"/>
        </w:rPr>
        <w:t xml:space="preserve">average daily </w:t>
      </w:r>
      <w:r w:rsidR="00664DC6" w:rsidRPr="00394A5B">
        <w:rPr>
          <w:rFonts w:cs="Arial"/>
        </w:rPr>
        <w:t xml:space="preserve">number of day visitors, based on estimates provided by </w:t>
      </w:r>
      <w:r w:rsidR="00685827">
        <w:rPr>
          <w:rFonts w:cs="Arial"/>
        </w:rPr>
        <w:t>the </w:t>
      </w:r>
      <w:r w:rsidR="00664DC6" w:rsidRPr="00394A5B">
        <w:rPr>
          <w:rFonts w:cs="Arial"/>
        </w:rPr>
        <w:t xml:space="preserve">Scarborough Tourism and Economic Activity Model (compiled from information collected by Global Tourism Solutions (UK) Ltd in </w:t>
      </w:r>
      <w:r w:rsidR="00685827">
        <w:rPr>
          <w:rFonts w:cs="Arial"/>
        </w:rPr>
        <w:t>the </w:t>
      </w:r>
      <w:r w:rsidR="00664DC6" w:rsidRPr="00394A5B">
        <w:rPr>
          <w:rFonts w:cs="Arial"/>
        </w:rPr>
        <w:t>publication ‘STEAM in Wales’).</w:t>
      </w:r>
    </w:p>
    <w:p w14:paraId="31FA3474" w14:textId="77777777" w:rsidR="00664DC6" w:rsidRPr="00394A5B" w:rsidRDefault="00664DC6" w:rsidP="00257F83">
      <w:pPr>
        <w:keepNext/>
        <w:keepLines/>
        <w:widowControl w:val="0"/>
        <w:numPr>
          <w:ilvl w:val="0"/>
          <w:numId w:val="27"/>
        </w:numPr>
        <w:spacing w:after="60"/>
        <w:ind w:left="567" w:hanging="567"/>
        <w:rPr>
          <w:rFonts w:cs="Arial"/>
        </w:rPr>
      </w:pPr>
      <w:r w:rsidRPr="00394A5B">
        <w:rPr>
          <w:rFonts w:cs="Arial"/>
          <w:i/>
        </w:rPr>
        <w:t>Primary school pupils and modelled nursery school pupils</w:t>
      </w:r>
    </w:p>
    <w:p w14:paraId="66BB2513" w14:textId="3B5D6BD4" w:rsidR="00D552A3" w:rsidRPr="00394A5B" w:rsidRDefault="00394A5B" w:rsidP="003D4E26">
      <w:pPr>
        <w:widowControl w:val="0"/>
        <w:rPr>
          <w:rFonts w:cs="Arial"/>
        </w:rPr>
      </w:pPr>
      <w:r>
        <w:rPr>
          <w:rFonts w:cs="Arial"/>
        </w:rPr>
        <w:t>The </w:t>
      </w:r>
      <w:r w:rsidR="00664DC6" w:rsidRPr="00394A5B">
        <w:rPr>
          <w:rFonts w:cs="Arial"/>
        </w:rPr>
        <w:t xml:space="preserve">number of pupils aged 4 and over at </w:t>
      </w:r>
      <w:r w:rsidR="005E25F7" w:rsidRPr="00394A5B">
        <w:rPr>
          <w:rFonts w:cs="Arial"/>
        </w:rPr>
        <w:t xml:space="preserve">April </w:t>
      </w:r>
      <w:r w:rsidR="00664DC6" w:rsidRPr="00394A5B">
        <w:rPr>
          <w:rFonts w:cs="Arial"/>
        </w:rPr>
        <w:t xml:space="preserve">of </w:t>
      </w:r>
      <w:r w:rsidR="00685827">
        <w:rPr>
          <w:rFonts w:cs="Arial"/>
        </w:rPr>
        <w:t>the </w:t>
      </w:r>
      <w:r w:rsidR="00664DC6" w:rsidRPr="00394A5B">
        <w:rPr>
          <w:rFonts w:cs="Arial"/>
        </w:rPr>
        <w:t xml:space="preserve">data year at maintained primary and nursery schools excluding special schools in </w:t>
      </w:r>
      <w:r w:rsidR="00685827">
        <w:rPr>
          <w:rFonts w:cs="Arial"/>
        </w:rPr>
        <w:t>the </w:t>
      </w:r>
      <w:r w:rsidR="00331BCC" w:rsidRPr="00394A5B">
        <w:rPr>
          <w:rFonts w:cs="Arial"/>
        </w:rPr>
        <w:t>C</w:t>
      </w:r>
      <w:r w:rsidR="00664DC6" w:rsidRPr="00394A5B">
        <w:rPr>
          <w:rFonts w:cs="Arial"/>
        </w:rPr>
        <w:t xml:space="preserve">ouncil area, plus pupils aged 5 to 10 inclusive at independent schools </w:t>
      </w:r>
      <w:r w:rsidR="008D436B" w:rsidRPr="00394A5B">
        <w:rPr>
          <w:rFonts w:cs="Arial"/>
        </w:rPr>
        <w:t xml:space="preserve">excluding </w:t>
      </w:r>
      <w:r w:rsidR="00664DC6" w:rsidRPr="00394A5B">
        <w:rPr>
          <w:rFonts w:cs="Arial"/>
        </w:rPr>
        <w:t xml:space="preserve">special schools and special education for </w:t>
      </w:r>
      <w:r w:rsidR="00574E4B" w:rsidRPr="00394A5B">
        <w:rPr>
          <w:rFonts w:cs="Arial"/>
        </w:rPr>
        <w:t>which</w:t>
      </w:r>
      <w:r w:rsidR="00664DC6" w:rsidRPr="00394A5B">
        <w:rPr>
          <w:rFonts w:cs="Arial"/>
        </w:rPr>
        <w:t xml:space="preserve"> </w:t>
      </w:r>
      <w:r w:rsidR="00685827">
        <w:rPr>
          <w:rFonts w:cs="Arial"/>
        </w:rPr>
        <w:t>the </w:t>
      </w:r>
      <w:r w:rsidR="00331BCC" w:rsidRPr="00394A5B">
        <w:rPr>
          <w:rFonts w:cs="Arial"/>
        </w:rPr>
        <w:t>C</w:t>
      </w:r>
      <w:r w:rsidR="00664DC6" w:rsidRPr="00394A5B">
        <w:rPr>
          <w:rFonts w:cs="Arial"/>
        </w:rPr>
        <w:t>ouncil pays full tuition fees</w:t>
      </w:r>
      <w:r w:rsidR="008D436B" w:rsidRPr="00394A5B">
        <w:rPr>
          <w:rFonts w:cs="Arial"/>
        </w:rPr>
        <w:t xml:space="preserve"> plus those EOTAS</w:t>
      </w:r>
      <w:r w:rsidR="00EC4A63" w:rsidRPr="00394A5B">
        <w:rPr>
          <w:rFonts w:cs="Arial"/>
        </w:rPr>
        <w:t xml:space="preserve"> </w:t>
      </w:r>
      <w:r w:rsidR="009E1EE8" w:rsidRPr="00394A5B">
        <w:rPr>
          <w:rFonts w:cs="Arial"/>
        </w:rPr>
        <w:t xml:space="preserve">as at </w:t>
      </w:r>
      <w:r w:rsidR="005E25F7" w:rsidRPr="00394A5B">
        <w:rPr>
          <w:rFonts w:cs="Arial"/>
        </w:rPr>
        <w:t xml:space="preserve">April </w:t>
      </w:r>
      <w:r w:rsidR="009E1EE8" w:rsidRPr="00394A5B">
        <w:rPr>
          <w:rFonts w:cs="Arial"/>
        </w:rPr>
        <w:t>20</w:t>
      </w:r>
      <w:r w:rsidR="005E25F7" w:rsidRPr="00394A5B">
        <w:rPr>
          <w:rFonts w:cs="Arial"/>
        </w:rPr>
        <w:t>21</w:t>
      </w:r>
      <w:r w:rsidR="00885552" w:rsidRPr="00394A5B">
        <w:rPr>
          <w:rFonts w:cs="Arial"/>
        </w:rPr>
        <w:t xml:space="preserve">.  </w:t>
      </w:r>
      <w:r w:rsidR="00664DC6" w:rsidRPr="00394A5B">
        <w:rPr>
          <w:rFonts w:cs="Arial"/>
        </w:rPr>
        <w:t xml:space="preserve">An estimate for nursery pupils aged 3 is also included by taking </w:t>
      </w:r>
      <w:r w:rsidR="00685827">
        <w:rPr>
          <w:rFonts w:cs="Arial"/>
        </w:rPr>
        <w:t>the </w:t>
      </w:r>
      <w:r w:rsidR="00664DC6" w:rsidRPr="00394A5B">
        <w:rPr>
          <w:rFonts w:cs="Arial"/>
        </w:rPr>
        <w:t xml:space="preserve">population of that age group in </w:t>
      </w:r>
      <w:r w:rsidR="00685827">
        <w:rPr>
          <w:rFonts w:cs="Arial"/>
        </w:rPr>
        <w:t>the </w:t>
      </w:r>
      <w:r w:rsidR="00331BCC" w:rsidRPr="00394A5B">
        <w:rPr>
          <w:rFonts w:cs="Arial"/>
        </w:rPr>
        <w:t>C</w:t>
      </w:r>
      <w:r w:rsidR="00664DC6" w:rsidRPr="00394A5B">
        <w:rPr>
          <w:rFonts w:cs="Arial"/>
        </w:rPr>
        <w:t xml:space="preserve">ouncil and scaling </w:t>
      </w:r>
      <w:r w:rsidR="00685827">
        <w:rPr>
          <w:rFonts w:cs="Arial"/>
        </w:rPr>
        <w:t>the </w:t>
      </w:r>
      <w:r w:rsidR="00664DC6" w:rsidRPr="00394A5B">
        <w:rPr>
          <w:rFonts w:cs="Arial"/>
        </w:rPr>
        <w:t xml:space="preserve">number down by </w:t>
      </w:r>
      <w:r w:rsidR="00685827">
        <w:rPr>
          <w:rFonts w:cs="Arial"/>
        </w:rPr>
        <w:t>the </w:t>
      </w:r>
      <w:r w:rsidR="00664DC6" w:rsidRPr="00394A5B">
        <w:rPr>
          <w:rFonts w:cs="Arial"/>
        </w:rPr>
        <w:t>proportion of 3 year olds in nursery schools for Wales as a whole</w:t>
      </w:r>
      <w:r w:rsidR="00885552" w:rsidRPr="00394A5B">
        <w:rPr>
          <w:rFonts w:cs="Arial"/>
        </w:rPr>
        <w:t xml:space="preserve">.  </w:t>
      </w:r>
      <w:r w:rsidR="00664DC6" w:rsidRPr="00394A5B">
        <w:rPr>
          <w:rFonts w:cs="Arial"/>
        </w:rPr>
        <w:t>Part-time pupils have been given a weighting of one-half (aggregated from information reported by maintained</w:t>
      </w:r>
      <w:r w:rsidR="00664DC6" w:rsidRPr="00394A5B">
        <w:rPr>
          <w:rFonts w:cs="Arial"/>
          <w:vertAlign w:val="superscript"/>
        </w:rPr>
        <w:t xml:space="preserve"> </w:t>
      </w:r>
      <w:r w:rsidR="00664DC6" w:rsidRPr="00394A5B">
        <w:rPr>
          <w:rFonts w:cs="Arial"/>
        </w:rPr>
        <w:t xml:space="preserve">schools on </w:t>
      </w:r>
      <w:r w:rsidR="00685827">
        <w:rPr>
          <w:rFonts w:cs="Arial"/>
        </w:rPr>
        <w:t>the </w:t>
      </w:r>
      <w:r w:rsidR="00664DC6" w:rsidRPr="00394A5B">
        <w:rPr>
          <w:rFonts w:cs="Arial"/>
        </w:rPr>
        <w:t>PLASC return, and information from councils).</w:t>
      </w:r>
    </w:p>
    <w:p w14:paraId="33561884" w14:textId="77777777" w:rsidR="00664DC6" w:rsidRPr="00394A5B" w:rsidRDefault="00664DC6" w:rsidP="00257F83">
      <w:pPr>
        <w:keepNext/>
        <w:keepLines/>
        <w:widowControl w:val="0"/>
        <w:numPr>
          <w:ilvl w:val="0"/>
          <w:numId w:val="27"/>
        </w:numPr>
        <w:spacing w:after="60"/>
        <w:ind w:left="567" w:hanging="567"/>
        <w:rPr>
          <w:rFonts w:cs="Arial"/>
        </w:rPr>
      </w:pPr>
      <w:r w:rsidRPr="00394A5B">
        <w:rPr>
          <w:rFonts w:cs="Arial"/>
          <w:i/>
        </w:rPr>
        <w:t>Secondary school pupils</w:t>
      </w:r>
      <w:r w:rsidR="005D47B2" w:rsidRPr="00394A5B">
        <w:rPr>
          <w:rFonts w:cs="Arial"/>
          <w:i/>
        </w:rPr>
        <w:t xml:space="preserve"> in year groups 7 to 11</w:t>
      </w:r>
    </w:p>
    <w:p w14:paraId="08F7414B" w14:textId="05B97425" w:rsidR="00664DC6" w:rsidRPr="00394A5B" w:rsidRDefault="00394A5B" w:rsidP="003D4E26">
      <w:pPr>
        <w:widowControl w:val="0"/>
        <w:rPr>
          <w:rFonts w:cs="Arial"/>
        </w:rPr>
      </w:pPr>
      <w:r>
        <w:rPr>
          <w:rFonts w:cs="Arial"/>
        </w:rPr>
        <w:t>The </w:t>
      </w:r>
      <w:r w:rsidR="00664DC6" w:rsidRPr="00394A5B">
        <w:rPr>
          <w:rFonts w:cs="Arial"/>
        </w:rPr>
        <w:t xml:space="preserve">number of pupils </w:t>
      </w:r>
      <w:r w:rsidR="00C350A6" w:rsidRPr="00394A5B">
        <w:rPr>
          <w:rFonts w:cs="Arial"/>
        </w:rPr>
        <w:t>in year groups 7 to 11 in</w:t>
      </w:r>
      <w:r w:rsidR="00664DC6" w:rsidRPr="00394A5B">
        <w:rPr>
          <w:rFonts w:cs="Arial"/>
        </w:rPr>
        <w:t xml:space="preserve"> </w:t>
      </w:r>
      <w:r w:rsidR="00685827">
        <w:rPr>
          <w:rFonts w:cs="Arial"/>
        </w:rPr>
        <w:t>the </w:t>
      </w:r>
      <w:r w:rsidR="00664DC6" w:rsidRPr="00394A5B">
        <w:rPr>
          <w:rFonts w:cs="Arial"/>
        </w:rPr>
        <w:t xml:space="preserve">data year at maintained secondary schools in </w:t>
      </w:r>
      <w:r w:rsidR="00685827">
        <w:rPr>
          <w:rFonts w:cs="Arial"/>
        </w:rPr>
        <w:t>the </w:t>
      </w:r>
      <w:r w:rsidR="00331BCC" w:rsidRPr="00394A5B">
        <w:rPr>
          <w:rFonts w:cs="Arial"/>
        </w:rPr>
        <w:t>C</w:t>
      </w:r>
      <w:r w:rsidR="00664DC6" w:rsidRPr="00394A5B">
        <w:rPr>
          <w:rFonts w:cs="Arial"/>
        </w:rPr>
        <w:t xml:space="preserve">ouncil area excluding special schools; plus pupils aged between 11 and 15 at independent schools for whom </w:t>
      </w:r>
      <w:r w:rsidR="00685827">
        <w:rPr>
          <w:rFonts w:cs="Arial"/>
        </w:rPr>
        <w:t>the </w:t>
      </w:r>
      <w:r w:rsidR="00331BCC" w:rsidRPr="00394A5B">
        <w:rPr>
          <w:rFonts w:cs="Arial"/>
        </w:rPr>
        <w:t>C</w:t>
      </w:r>
      <w:r w:rsidR="00664DC6" w:rsidRPr="00394A5B">
        <w:rPr>
          <w:rFonts w:cs="Arial"/>
        </w:rPr>
        <w:t xml:space="preserve">ouncil pays full tuition fees, excluding special schools and special education (aggregated from information reported by maintained schools on </w:t>
      </w:r>
      <w:r w:rsidR="00685827">
        <w:rPr>
          <w:rFonts w:cs="Arial"/>
        </w:rPr>
        <w:t>the </w:t>
      </w:r>
      <w:r w:rsidR="00664DC6" w:rsidRPr="00394A5B">
        <w:rPr>
          <w:rFonts w:cs="Arial"/>
        </w:rPr>
        <w:t>PLASC return and information from councils)</w:t>
      </w:r>
      <w:r w:rsidR="008D436B" w:rsidRPr="00394A5B">
        <w:rPr>
          <w:rFonts w:cs="Arial"/>
        </w:rPr>
        <w:t xml:space="preserve"> plus those EOTAS</w:t>
      </w:r>
      <w:r w:rsidR="00EC4A63" w:rsidRPr="00394A5B">
        <w:rPr>
          <w:rFonts w:cs="Arial"/>
        </w:rPr>
        <w:t xml:space="preserve"> </w:t>
      </w:r>
      <w:r w:rsidR="009E1EE8" w:rsidRPr="00394A5B">
        <w:rPr>
          <w:rFonts w:cs="Arial"/>
        </w:rPr>
        <w:t xml:space="preserve">as at </w:t>
      </w:r>
      <w:r w:rsidR="005E25F7" w:rsidRPr="00394A5B">
        <w:rPr>
          <w:rFonts w:cs="Arial"/>
        </w:rPr>
        <w:t xml:space="preserve">April </w:t>
      </w:r>
      <w:r w:rsidR="009E1EE8" w:rsidRPr="00394A5B">
        <w:rPr>
          <w:rFonts w:cs="Arial"/>
        </w:rPr>
        <w:t>20</w:t>
      </w:r>
      <w:r w:rsidR="005E25F7" w:rsidRPr="00394A5B">
        <w:rPr>
          <w:rFonts w:cs="Arial"/>
        </w:rPr>
        <w:t>21</w:t>
      </w:r>
      <w:r w:rsidR="00664DC6" w:rsidRPr="00394A5B">
        <w:rPr>
          <w:rFonts w:cs="Arial"/>
        </w:rPr>
        <w:t>.</w:t>
      </w:r>
    </w:p>
    <w:p w14:paraId="16D8AA04" w14:textId="77777777" w:rsidR="00664DC6" w:rsidRPr="00394A5B" w:rsidRDefault="00664DC6" w:rsidP="00257F83">
      <w:pPr>
        <w:keepNext/>
        <w:keepLines/>
        <w:widowControl w:val="0"/>
        <w:numPr>
          <w:ilvl w:val="0"/>
          <w:numId w:val="27"/>
        </w:numPr>
        <w:spacing w:after="60"/>
        <w:ind w:left="567" w:hanging="567"/>
        <w:rPr>
          <w:rFonts w:cs="Arial"/>
        </w:rPr>
      </w:pPr>
      <w:r w:rsidRPr="00394A5B">
        <w:rPr>
          <w:rFonts w:cs="Arial"/>
          <w:i/>
        </w:rPr>
        <w:t xml:space="preserve">Secondary school pupils </w:t>
      </w:r>
      <w:r w:rsidR="009D0A39" w:rsidRPr="00394A5B">
        <w:rPr>
          <w:rFonts w:cs="Arial"/>
          <w:i/>
        </w:rPr>
        <w:t>in year groups 10 and 11</w:t>
      </w:r>
    </w:p>
    <w:p w14:paraId="10FF2243" w14:textId="4B31FFBB" w:rsidR="00664DC6" w:rsidRPr="00394A5B" w:rsidRDefault="00394A5B" w:rsidP="003D4E26">
      <w:pPr>
        <w:widowControl w:val="0"/>
        <w:rPr>
          <w:rFonts w:cs="Arial"/>
        </w:rPr>
      </w:pPr>
      <w:r>
        <w:rPr>
          <w:rFonts w:cs="Arial"/>
        </w:rPr>
        <w:t>The </w:t>
      </w:r>
      <w:r w:rsidR="00664DC6" w:rsidRPr="00394A5B">
        <w:rPr>
          <w:rFonts w:cs="Arial"/>
        </w:rPr>
        <w:t xml:space="preserve">number of pupils </w:t>
      </w:r>
      <w:r w:rsidR="00C350A6" w:rsidRPr="00394A5B">
        <w:rPr>
          <w:rFonts w:cs="Arial"/>
        </w:rPr>
        <w:t>in year groups 10 and 11 in</w:t>
      </w:r>
      <w:r w:rsidR="00664DC6" w:rsidRPr="00394A5B">
        <w:rPr>
          <w:rFonts w:cs="Arial"/>
        </w:rPr>
        <w:t xml:space="preserve"> </w:t>
      </w:r>
      <w:r w:rsidR="00685827">
        <w:rPr>
          <w:rFonts w:cs="Arial"/>
        </w:rPr>
        <w:t>the </w:t>
      </w:r>
      <w:r w:rsidR="00664DC6" w:rsidRPr="00394A5B">
        <w:rPr>
          <w:rFonts w:cs="Arial"/>
        </w:rPr>
        <w:t xml:space="preserve">data year at maintained secondary schools in </w:t>
      </w:r>
      <w:r w:rsidR="00685827">
        <w:rPr>
          <w:rFonts w:cs="Arial"/>
        </w:rPr>
        <w:t>the </w:t>
      </w:r>
      <w:r w:rsidR="00331BCC" w:rsidRPr="00394A5B">
        <w:rPr>
          <w:rFonts w:cs="Arial"/>
        </w:rPr>
        <w:t>C</w:t>
      </w:r>
      <w:r w:rsidR="00664DC6" w:rsidRPr="00394A5B">
        <w:rPr>
          <w:rFonts w:cs="Arial"/>
        </w:rPr>
        <w:t xml:space="preserve">ouncil area excluding special schools; plus pupils at independent schools for whom </w:t>
      </w:r>
      <w:r w:rsidR="00685827">
        <w:rPr>
          <w:rFonts w:cs="Arial"/>
        </w:rPr>
        <w:t>the </w:t>
      </w:r>
      <w:r w:rsidR="00331BCC" w:rsidRPr="00394A5B">
        <w:rPr>
          <w:rFonts w:cs="Arial"/>
        </w:rPr>
        <w:t>C</w:t>
      </w:r>
      <w:r w:rsidR="00664DC6" w:rsidRPr="00394A5B">
        <w:rPr>
          <w:rFonts w:cs="Arial"/>
        </w:rPr>
        <w:t xml:space="preserve">ouncil pays full tuition fees, excluding special schools and special education (aggregated from information reported by maintained schools on </w:t>
      </w:r>
      <w:r w:rsidR="00685827">
        <w:rPr>
          <w:rFonts w:cs="Arial"/>
        </w:rPr>
        <w:t>the </w:t>
      </w:r>
      <w:r w:rsidR="00664DC6" w:rsidRPr="00394A5B">
        <w:rPr>
          <w:rFonts w:cs="Arial"/>
        </w:rPr>
        <w:t xml:space="preserve">PLASC return and information from </w:t>
      </w:r>
      <w:r w:rsidR="00331BCC" w:rsidRPr="00394A5B">
        <w:rPr>
          <w:rFonts w:cs="Arial"/>
        </w:rPr>
        <w:t>C</w:t>
      </w:r>
      <w:r w:rsidR="00664DC6" w:rsidRPr="00394A5B">
        <w:rPr>
          <w:rFonts w:cs="Arial"/>
        </w:rPr>
        <w:t>ouncils)</w:t>
      </w:r>
      <w:r w:rsidR="008D436B" w:rsidRPr="00394A5B">
        <w:rPr>
          <w:rFonts w:cs="Arial"/>
        </w:rPr>
        <w:t xml:space="preserve"> plus those EOTAS</w:t>
      </w:r>
      <w:r w:rsidR="00EC4A63" w:rsidRPr="00394A5B">
        <w:rPr>
          <w:rFonts w:cs="Arial"/>
        </w:rPr>
        <w:t xml:space="preserve"> </w:t>
      </w:r>
      <w:r w:rsidR="009E1EE8" w:rsidRPr="00394A5B">
        <w:rPr>
          <w:rFonts w:cs="Arial"/>
        </w:rPr>
        <w:t xml:space="preserve">as at </w:t>
      </w:r>
      <w:r w:rsidR="005E25F7" w:rsidRPr="00394A5B">
        <w:rPr>
          <w:rFonts w:cs="Arial"/>
        </w:rPr>
        <w:t xml:space="preserve">April </w:t>
      </w:r>
      <w:r w:rsidR="009E1EE8" w:rsidRPr="00394A5B">
        <w:rPr>
          <w:rFonts w:cs="Arial"/>
        </w:rPr>
        <w:t>20</w:t>
      </w:r>
      <w:r w:rsidR="005E25F7" w:rsidRPr="00394A5B">
        <w:rPr>
          <w:rFonts w:cs="Arial"/>
        </w:rPr>
        <w:t>2</w:t>
      </w:r>
      <w:r w:rsidR="009E1EE8" w:rsidRPr="00394A5B">
        <w:rPr>
          <w:rFonts w:cs="Arial"/>
        </w:rPr>
        <w:t>1</w:t>
      </w:r>
      <w:r w:rsidR="00664DC6" w:rsidRPr="00394A5B">
        <w:rPr>
          <w:rFonts w:cs="Arial"/>
        </w:rPr>
        <w:t>.</w:t>
      </w:r>
    </w:p>
    <w:p w14:paraId="68A5B388" w14:textId="77777777" w:rsidR="00664DC6" w:rsidRPr="00394A5B" w:rsidRDefault="003064CF" w:rsidP="00257F83">
      <w:pPr>
        <w:keepNext/>
        <w:keepLines/>
        <w:widowControl w:val="0"/>
        <w:numPr>
          <w:ilvl w:val="0"/>
          <w:numId w:val="27"/>
        </w:numPr>
        <w:spacing w:after="60"/>
        <w:ind w:left="567" w:hanging="567"/>
        <w:rPr>
          <w:rFonts w:cs="Arial"/>
        </w:rPr>
      </w:pPr>
      <w:r w:rsidRPr="00394A5B">
        <w:rPr>
          <w:rFonts w:cs="Arial"/>
          <w:i/>
        </w:rPr>
        <w:t>P</w:t>
      </w:r>
      <w:r w:rsidR="00664DC6" w:rsidRPr="00394A5B">
        <w:rPr>
          <w:rFonts w:cs="Arial"/>
          <w:i/>
        </w:rPr>
        <w:t xml:space="preserve">rimary school pupils </w:t>
      </w:r>
      <w:r w:rsidRPr="00394A5B">
        <w:rPr>
          <w:rFonts w:cs="Arial"/>
          <w:i/>
        </w:rPr>
        <w:t>elig</w:t>
      </w:r>
      <w:r w:rsidR="00F5454A" w:rsidRPr="00394A5B">
        <w:rPr>
          <w:rFonts w:cs="Arial"/>
          <w:i/>
        </w:rPr>
        <w:t>i</w:t>
      </w:r>
      <w:r w:rsidRPr="00394A5B">
        <w:rPr>
          <w:rFonts w:cs="Arial"/>
          <w:i/>
        </w:rPr>
        <w:t xml:space="preserve">ble for </w:t>
      </w:r>
      <w:r w:rsidR="00664DC6" w:rsidRPr="00394A5B">
        <w:rPr>
          <w:rFonts w:cs="Arial"/>
          <w:i/>
        </w:rPr>
        <w:t>free school meals</w:t>
      </w:r>
    </w:p>
    <w:p w14:paraId="37E54A90" w14:textId="5420A37D" w:rsidR="00664DC6" w:rsidRPr="00394A5B" w:rsidRDefault="00313ECC" w:rsidP="003D4E26">
      <w:pPr>
        <w:widowControl w:val="0"/>
        <w:rPr>
          <w:rFonts w:cs="Arial"/>
        </w:rPr>
      </w:pPr>
      <w:r w:rsidRPr="00394A5B">
        <w:rPr>
          <w:rFonts w:cs="Arial"/>
        </w:rPr>
        <w:t xml:space="preserve">A </w:t>
      </w:r>
      <w:r w:rsidR="00225CE6" w:rsidRPr="00394A5B">
        <w:rPr>
          <w:rFonts w:cs="Arial"/>
        </w:rPr>
        <w:t>four-</w:t>
      </w:r>
      <w:r w:rsidRPr="00394A5B">
        <w:rPr>
          <w:rFonts w:cs="Arial"/>
        </w:rPr>
        <w:t xml:space="preserve">year average of </w:t>
      </w:r>
      <w:r w:rsidR="00685827">
        <w:rPr>
          <w:rFonts w:cs="Arial"/>
        </w:rPr>
        <w:t>the </w:t>
      </w:r>
      <w:r w:rsidR="00664DC6" w:rsidRPr="00394A5B">
        <w:rPr>
          <w:rFonts w:cs="Arial"/>
        </w:rPr>
        <w:t>number of pupils</w:t>
      </w:r>
      <w:r w:rsidR="00C26790" w:rsidRPr="00394A5B">
        <w:rPr>
          <w:rFonts w:cs="Arial"/>
        </w:rPr>
        <w:t xml:space="preserve"> registered on roll </w:t>
      </w:r>
      <w:r w:rsidR="00593439" w:rsidRPr="00394A5B">
        <w:rPr>
          <w:rFonts w:cs="Arial"/>
        </w:rPr>
        <w:t>that</w:t>
      </w:r>
      <w:r w:rsidR="00EE5B44" w:rsidRPr="00394A5B">
        <w:rPr>
          <w:rFonts w:cs="Arial"/>
        </w:rPr>
        <w:t xml:space="preserve"> were eligible </w:t>
      </w:r>
      <w:r w:rsidR="003064CF" w:rsidRPr="00394A5B">
        <w:rPr>
          <w:rFonts w:cs="Arial"/>
        </w:rPr>
        <w:t>for</w:t>
      </w:r>
      <w:r w:rsidR="00C26790" w:rsidRPr="00394A5B">
        <w:rPr>
          <w:rFonts w:cs="Arial"/>
        </w:rPr>
        <w:t xml:space="preserve"> a</w:t>
      </w:r>
      <w:r w:rsidR="00664DC6" w:rsidRPr="00394A5B">
        <w:rPr>
          <w:rFonts w:cs="Arial"/>
        </w:rPr>
        <w:t xml:space="preserve"> free school meal at maintained </w:t>
      </w:r>
      <w:r w:rsidR="00226665" w:rsidRPr="00394A5B">
        <w:rPr>
          <w:rFonts w:cs="Arial"/>
        </w:rPr>
        <w:t xml:space="preserve">nursery and </w:t>
      </w:r>
      <w:r w:rsidR="00664DC6" w:rsidRPr="00394A5B">
        <w:rPr>
          <w:rFonts w:cs="Arial"/>
        </w:rPr>
        <w:t>primary schools</w:t>
      </w:r>
      <w:r w:rsidR="00226665" w:rsidRPr="00394A5B">
        <w:rPr>
          <w:rFonts w:cs="Arial"/>
        </w:rPr>
        <w:t>, attending reception year onwards</w:t>
      </w:r>
      <w:r w:rsidR="00805CB8" w:rsidRPr="00394A5B">
        <w:rPr>
          <w:rFonts w:cs="Arial"/>
        </w:rPr>
        <w:t>,</w:t>
      </w:r>
      <w:r w:rsidR="00664DC6" w:rsidRPr="00394A5B">
        <w:rPr>
          <w:rFonts w:cs="Arial"/>
        </w:rPr>
        <w:t xml:space="preserve"> in </w:t>
      </w:r>
      <w:r w:rsidR="00685827">
        <w:rPr>
          <w:rFonts w:cs="Arial"/>
        </w:rPr>
        <w:t>the </w:t>
      </w:r>
      <w:r w:rsidR="00331BCC" w:rsidRPr="00394A5B">
        <w:rPr>
          <w:rFonts w:cs="Arial"/>
        </w:rPr>
        <w:t>C</w:t>
      </w:r>
      <w:r w:rsidR="00664DC6" w:rsidRPr="00394A5B">
        <w:rPr>
          <w:rFonts w:cs="Arial"/>
        </w:rPr>
        <w:t>ouncil area</w:t>
      </w:r>
      <w:r w:rsidR="00226665" w:rsidRPr="00394A5B">
        <w:rPr>
          <w:rFonts w:cs="Arial"/>
        </w:rPr>
        <w:t xml:space="preserve"> </w:t>
      </w:r>
      <w:r w:rsidR="00664DC6" w:rsidRPr="00394A5B">
        <w:rPr>
          <w:rFonts w:cs="Arial"/>
        </w:rPr>
        <w:t xml:space="preserve">(aggregated from information reported by maintained schools on </w:t>
      </w:r>
      <w:r w:rsidR="00685827">
        <w:rPr>
          <w:rFonts w:cs="Arial"/>
        </w:rPr>
        <w:t>the </w:t>
      </w:r>
      <w:r w:rsidR="00664DC6" w:rsidRPr="00394A5B">
        <w:rPr>
          <w:rFonts w:cs="Arial"/>
        </w:rPr>
        <w:t>PLASC return)</w:t>
      </w:r>
      <w:r w:rsidR="00165E15" w:rsidRPr="00394A5B">
        <w:rPr>
          <w:rFonts w:cs="Arial"/>
        </w:rPr>
        <w:t xml:space="preserve"> plus </w:t>
      </w:r>
      <w:r w:rsidRPr="00394A5B">
        <w:rPr>
          <w:rFonts w:cs="Arial"/>
        </w:rPr>
        <w:t xml:space="preserve">a </w:t>
      </w:r>
      <w:r w:rsidR="005E25F7" w:rsidRPr="00394A5B">
        <w:rPr>
          <w:rFonts w:cs="Arial"/>
        </w:rPr>
        <w:t>four-</w:t>
      </w:r>
      <w:r w:rsidRPr="00394A5B">
        <w:rPr>
          <w:rFonts w:cs="Arial"/>
        </w:rPr>
        <w:t xml:space="preserve">year average of </w:t>
      </w:r>
      <w:r w:rsidR="00165E15" w:rsidRPr="00394A5B">
        <w:rPr>
          <w:rFonts w:cs="Arial"/>
        </w:rPr>
        <w:t xml:space="preserve">those EOTAS </w:t>
      </w:r>
      <w:r w:rsidR="005D47B2" w:rsidRPr="00394A5B">
        <w:rPr>
          <w:rFonts w:cs="Arial"/>
        </w:rPr>
        <w:t xml:space="preserve">pupils under 11 years old </w:t>
      </w:r>
      <w:r w:rsidR="00165E15" w:rsidRPr="00394A5B">
        <w:rPr>
          <w:rFonts w:cs="Arial"/>
        </w:rPr>
        <w:t>eligible for free school meals</w:t>
      </w:r>
      <w:r w:rsidRPr="00394A5B">
        <w:rPr>
          <w:rFonts w:cs="Arial"/>
        </w:rPr>
        <w:t xml:space="preserve"> </w:t>
      </w:r>
      <w:r w:rsidR="00190465" w:rsidRPr="00394A5B">
        <w:rPr>
          <w:rFonts w:cs="Arial"/>
        </w:rPr>
        <w:t>of</w:t>
      </w:r>
      <w:r w:rsidRPr="00394A5B">
        <w:rPr>
          <w:rFonts w:cs="Arial"/>
        </w:rPr>
        <w:t xml:space="preserve"> </w:t>
      </w:r>
      <w:r w:rsidR="00685827">
        <w:rPr>
          <w:rFonts w:cs="Arial"/>
        </w:rPr>
        <w:t>the </w:t>
      </w:r>
      <w:r w:rsidRPr="00394A5B">
        <w:rPr>
          <w:rFonts w:cs="Arial"/>
        </w:rPr>
        <w:t>data year</w:t>
      </w:r>
      <w:r w:rsidR="00CD0B11" w:rsidRPr="00394A5B">
        <w:rPr>
          <w:rFonts w:cs="Arial"/>
        </w:rPr>
        <w:t>s</w:t>
      </w:r>
      <w:r w:rsidR="00664DC6" w:rsidRPr="00394A5B">
        <w:rPr>
          <w:rFonts w:cs="Arial"/>
        </w:rPr>
        <w:t>.</w:t>
      </w:r>
    </w:p>
    <w:p w14:paraId="7346FD33" w14:textId="77777777" w:rsidR="00664DC6" w:rsidRPr="00394A5B" w:rsidRDefault="003064CF" w:rsidP="00257F83">
      <w:pPr>
        <w:keepNext/>
        <w:keepLines/>
        <w:widowControl w:val="0"/>
        <w:numPr>
          <w:ilvl w:val="0"/>
          <w:numId w:val="27"/>
        </w:numPr>
        <w:spacing w:after="60"/>
        <w:ind w:left="567" w:hanging="567"/>
        <w:rPr>
          <w:rFonts w:cs="Arial"/>
        </w:rPr>
      </w:pPr>
      <w:r w:rsidRPr="00394A5B">
        <w:rPr>
          <w:rFonts w:cs="Arial"/>
          <w:i/>
        </w:rPr>
        <w:t>S</w:t>
      </w:r>
      <w:r w:rsidR="00664DC6" w:rsidRPr="00394A5B">
        <w:rPr>
          <w:rFonts w:cs="Arial"/>
          <w:i/>
        </w:rPr>
        <w:t xml:space="preserve">econdary school pupils </w:t>
      </w:r>
      <w:r w:rsidR="006B293A" w:rsidRPr="00394A5B">
        <w:rPr>
          <w:rFonts w:cs="Arial"/>
          <w:i/>
        </w:rPr>
        <w:t>eligible</w:t>
      </w:r>
      <w:r w:rsidRPr="00394A5B">
        <w:rPr>
          <w:rFonts w:cs="Arial"/>
          <w:i/>
        </w:rPr>
        <w:t xml:space="preserve"> for</w:t>
      </w:r>
      <w:r w:rsidR="00664DC6" w:rsidRPr="00394A5B">
        <w:rPr>
          <w:rFonts w:cs="Arial"/>
          <w:i/>
        </w:rPr>
        <w:t xml:space="preserve"> free school meals</w:t>
      </w:r>
      <w:r w:rsidR="00664DC6" w:rsidRPr="00394A5B">
        <w:rPr>
          <w:rFonts w:cs="Arial"/>
        </w:rPr>
        <w:t xml:space="preserve"> </w:t>
      </w:r>
    </w:p>
    <w:p w14:paraId="056C8557" w14:textId="75D58804" w:rsidR="00664DC6" w:rsidRPr="00394A5B" w:rsidRDefault="00313ECC" w:rsidP="003D4E26">
      <w:pPr>
        <w:widowControl w:val="0"/>
        <w:rPr>
          <w:rFonts w:cs="Arial"/>
        </w:rPr>
      </w:pPr>
      <w:r w:rsidRPr="00394A5B">
        <w:rPr>
          <w:rFonts w:cs="Arial"/>
        </w:rPr>
        <w:t xml:space="preserve">A </w:t>
      </w:r>
      <w:r w:rsidR="00225CE6" w:rsidRPr="00394A5B">
        <w:rPr>
          <w:rFonts w:cs="Arial"/>
        </w:rPr>
        <w:t>four-</w:t>
      </w:r>
      <w:r w:rsidRPr="00394A5B">
        <w:rPr>
          <w:rFonts w:cs="Arial"/>
        </w:rPr>
        <w:t xml:space="preserve">year average of </w:t>
      </w:r>
      <w:r w:rsidR="00685827">
        <w:rPr>
          <w:rFonts w:cs="Arial"/>
        </w:rPr>
        <w:t>the </w:t>
      </w:r>
      <w:r w:rsidR="00C26790" w:rsidRPr="00394A5B">
        <w:rPr>
          <w:rFonts w:cs="Arial"/>
        </w:rPr>
        <w:t xml:space="preserve">number of pupils registered on roll </w:t>
      </w:r>
      <w:r w:rsidR="00593439" w:rsidRPr="00394A5B">
        <w:rPr>
          <w:rFonts w:cs="Arial"/>
        </w:rPr>
        <w:t>that</w:t>
      </w:r>
      <w:r w:rsidR="003064CF" w:rsidRPr="00394A5B">
        <w:rPr>
          <w:rFonts w:cs="Arial"/>
        </w:rPr>
        <w:t xml:space="preserve"> were eligible for </w:t>
      </w:r>
      <w:r w:rsidR="00C26790" w:rsidRPr="00394A5B">
        <w:rPr>
          <w:rFonts w:cs="Arial"/>
        </w:rPr>
        <w:t xml:space="preserve">a free school meal at maintained </w:t>
      </w:r>
      <w:r w:rsidR="00C94856" w:rsidRPr="00394A5B">
        <w:rPr>
          <w:rFonts w:cs="Arial"/>
        </w:rPr>
        <w:t>secondary</w:t>
      </w:r>
      <w:r w:rsidR="00C26790" w:rsidRPr="00394A5B">
        <w:rPr>
          <w:rFonts w:cs="Arial"/>
        </w:rPr>
        <w:t xml:space="preserve"> schools</w:t>
      </w:r>
      <w:r w:rsidR="00805CB8" w:rsidRPr="00394A5B">
        <w:rPr>
          <w:rFonts w:cs="Arial"/>
        </w:rPr>
        <w:t>, attending years 7 to 11,</w:t>
      </w:r>
      <w:r w:rsidR="00C26790" w:rsidRPr="00394A5B">
        <w:rPr>
          <w:rFonts w:cs="Arial"/>
        </w:rPr>
        <w:t xml:space="preserve"> in </w:t>
      </w:r>
      <w:r w:rsidR="00685827">
        <w:rPr>
          <w:rFonts w:cs="Arial"/>
        </w:rPr>
        <w:t>the </w:t>
      </w:r>
      <w:r w:rsidR="00331BCC" w:rsidRPr="00394A5B">
        <w:rPr>
          <w:rFonts w:cs="Arial"/>
        </w:rPr>
        <w:t>C</w:t>
      </w:r>
      <w:r w:rsidR="00C26790" w:rsidRPr="00394A5B">
        <w:rPr>
          <w:rFonts w:cs="Arial"/>
        </w:rPr>
        <w:t xml:space="preserve">ouncil area </w:t>
      </w:r>
      <w:r w:rsidR="00664DC6" w:rsidRPr="00394A5B">
        <w:rPr>
          <w:rFonts w:cs="Arial"/>
        </w:rPr>
        <w:t xml:space="preserve">(aggregated from information reported by maintained schools on </w:t>
      </w:r>
      <w:r w:rsidR="00685827">
        <w:rPr>
          <w:rFonts w:cs="Arial"/>
        </w:rPr>
        <w:t>the </w:t>
      </w:r>
      <w:r w:rsidR="00664DC6" w:rsidRPr="00394A5B">
        <w:rPr>
          <w:rFonts w:cs="Arial"/>
        </w:rPr>
        <w:t>PLASC return)</w:t>
      </w:r>
      <w:r w:rsidR="00165E15" w:rsidRPr="00394A5B">
        <w:rPr>
          <w:rFonts w:cs="Arial"/>
        </w:rPr>
        <w:t xml:space="preserve"> plus </w:t>
      </w:r>
      <w:r w:rsidRPr="00394A5B">
        <w:rPr>
          <w:rFonts w:cs="Arial"/>
        </w:rPr>
        <w:t xml:space="preserve">a </w:t>
      </w:r>
      <w:r w:rsidR="005E25F7" w:rsidRPr="00394A5B">
        <w:rPr>
          <w:rFonts w:cs="Arial"/>
        </w:rPr>
        <w:t xml:space="preserve">four </w:t>
      </w:r>
      <w:r w:rsidRPr="00394A5B">
        <w:rPr>
          <w:rFonts w:cs="Arial"/>
        </w:rPr>
        <w:t xml:space="preserve">year average of </w:t>
      </w:r>
      <w:r w:rsidR="00165E15" w:rsidRPr="00394A5B">
        <w:rPr>
          <w:rFonts w:cs="Arial"/>
        </w:rPr>
        <w:t xml:space="preserve">those EOTAS </w:t>
      </w:r>
      <w:r w:rsidR="005D47B2" w:rsidRPr="00394A5B">
        <w:rPr>
          <w:rFonts w:cs="Arial"/>
        </w:rPr>
        <w:t xml:space="preserve">pupils aged 11-15 </w:t>
      </w:r>
      <w:r w:rsidR="00165E15" w:rsidRPr="00394A5B">
        <w:rPr>
          <w:rFonts w:cs="Arial"/>
        </w:rPr>
        <w:t>eligible for free school meals</w:t>
      </w:r>
      <w:r w:rsidRPr="00394A5B">
        <w:rPr>
          <w:rFonts w:cs="Arial"/>
        </w:rPr>
        <w:t xml:space="preserve"> </w:t>
      </w:r>
      <w:r w:rsidR="00190465" w:rsidRPr="00394A5B">
        <w:rPr>
          <w:rFonts w:cs="Arial"/>
        </w:rPr>
        <w:t>of</w:t>
      </w:r>
      <w:r w:rsidRPr="00394A5B">
        <w:rPr>
          <w:rFonts w:cs="Arial"/>
        </w:rPr>
        <w:t xml:space="preserve"> </w:t>
      </w:r>
      <w:r w:rsidR="00685827">
        <w:rPr>
          <w:rFonts w:cs="Arial"/>
        </w:rPr>
        <w:t>the </w:t>
      </w:r>
      <w:r w:rsidRPr="00394A5B">
        <w:rPr>
          <w:rFonts w:cs="Arial"/>
        </w:rPr>
        <w:t>data year</w:t>
      </w:r>
      <w:r w:rsidR="00CD0B11" w:rsidRPr="00394A5B">
        <w:rPr>
          <w:rFonts w:cs="Arial"/>
        </w:rPr>
        <w:t>s</w:t>
      </w:r>
      <w:r w:rsidR="00664DC6" w:rsidRPr="00394A5B">
        <w:rPr>
          <w:rFonts w:cs="Arial"/>
        </w:rPr>
        <w:t>.</w:t>
      </w:r>
    </w:p>
    <w:p w14:paraId="636C6FD0" w14:textId="77777777" w:rsidR="00664DC6" w:rsidRPr="00394A5B" w:rsidRDefault="00664DC6" w:rsidP="00257F83">
      <w:pPr>
        <w:keepNext/>
        <w:keepLines/>
        <w:widowControl w:val="0"/>
        <w:numPr>
          <w:ilvl w:val="0"/>
          <w:numId w:val="27"/>
        </w:numPr>
        <w:spacing w:after="60"/>
        <w:ind w:left="567" w:hanging="567"/>
        <w:rPr>
          <w:rFonts w:cs="Arial"/>
        </w:rPr>
      </w:pPr>
      <w:r w:rsidRPr="00394A5B">
        <w:rPr>
          <w:rFonts w:cs="Arial"/>
          <w:i/>
        </w:rPr>
        <w:t xml:space="preserve">Area per modelled primary school </w:t>
      </w:r>
      <w:r w:rsidR="00B2150D" w:rsidRPr="00394A5B">
        <w:rPr>
          <w:rFonts w:cs="Arial"/>
          <w:i/>
        </w:rPr>
        <w:t>index</w:t>
      </w:r>
    </w:p>
    <w:p w14:paraId="520A6B6F" w14:textId="453CFD63" w:rsidR="00664DC6" w:rsidRPr="00394A5B" w:rsidRDefault="00593439" w:rsidP="003D4E26">
      <w:pPr>
        <w:widowControl w:val="0"/>
        <w:rPr>
          <w:rFonts w:cs="Arial"/>
        </w:rPr>
      </w:pPr>
      <w:r w:rsidRPr="00394A5B">
        <w:rPr>
          <w:rFonts w:cs="Arial"/>
        </w:rPr>
        <w:t xml:space="preserve">Land </w:t>
      </w:r>
      <w:r w:rsidR="00580EA5" w:rsidRPr="00394A5B">
        <w:rPr>
          <w:rFonts w:cs="Arial"/>
        </w:rPr>
        <w:t xml:space="preserve">area </w:t>
      </w:r>
      <w:r w:rsidR="00664DC6" w:rsidRPr="00394A5B">
        <w:rPr>
          <w:rFonts w:cs="Arial"/>
        </w:rPr>
        <w:t>divided by a mode</w:t>
      </w:r>
      <w:r w:rsidRPr="00394A5B">
        <w:rPr>
          <w:rFonts w:cs="Arial"/>
        </w:rPr>
        <w:t>lled number of primary schools within</w:t>
      </w:r>
      <w:r w:rsidR="00664DC6" w:rsidRPr="00394A5B">
        <w:rPr>
          <w:rFonts w:cs="Arial"/>
        </w:rPr>
        <w:t xml:space="preserve"> </w:t>
      </w:r>
      <w:r w:rsidR="00685827">
        <w:rPr>
          <w:rFonts w:cs="Arial"/>
        </w:rPr>
        <w:t>the </w:t>
      </w:r>
      <w:r w:rsidR="00331BCC" w:rsidRPr="00394A5B">
        <w:rPr>
          <w:rFonts w:cs="Arial"/>
        </w:rPr>
        <w:t>C</w:t>
      </w:r>
      <w:r w:rsidR="00664DC6" w:rsidRPr="00394A5B">
        <w:rPr>
          <w:rFonts w:cs="Arial"/>
        </w:rPr>
        <w:t>ouncil</w:t>
      </w:r>
      <w:r w:rsidR="00331BCC" w:rsidRPr="00394A5B">
        <w:rPr>
          <w:rFonts w:cs="Arial"/>
        </w:rPr>
        <w:t>’s area</w:t>
      </w:r>
      <w:r w:rsidR="00885552" w:rsidRPr="00394A5B">
        <w:rPr>
          <w:rFonts w:cs="Arial"/>
        </w:rPr>
        <w:t xml:space="preserve">.  </w:t>
      </w:r>
      <w:r w:rsidR="00F45CFC" w:rsidRPr="00394A5B">
        <w:rPr>
          <w:rFonts w:cs="Arial"/>
        </w:rPr>
        <w:t xml:space="preserve">Land area is defined as </w:t>
      </w:r>
      <w:r w:rsidR="00685827">
        <w:rPr>
          <w:rFonts w:cs="Arial"/>
        </w:rPr>
        <w:t>the </w:t>
      </w:r>
      <w:r w:rsidR="00F45CFC" w:rsidRPr="00394A5B">
        <w:rPr>
          <w:rFonts w:cs="Arial"/>
        </w:rPr>
        <w:t>high water mark area of land in hectares</w:t>
      </w:r>
      <w:r w:rsidR="00DF7498" w:rsidRPr="00394A5B">
        <w:rPr>
          <w:rFonts w:cs="Arial"/>
        </w:rPr>
        <w:t xml:space="preserve"> as at </w:t>
      </w:r>
      <w:r w:rsidR="00685827">
        <w:rPr>
          <w:rFonts w:cs="Arial"/>
        </w:rPr>
        <w:t>the </w:t>
      </w:r>
      <w:r w:rsidR="005E25F7" w:rsidRPr="00394A5B">
        <w:rPr>
          <w:rFonts w:cs="Arial"/>
        </w:rPr>
        <w:t xml:space="preserve">start </w:t>
      </w:r>
      <w:r w:rsidR="00DF7498" w:rsidRPr="00394A5B">
        <w:rPr>
          <w:rFonts w:cs="Arial"/>
        </w:rPr>
        <w:t xml:space="preserve">of </w:t>
      </w:r>
      <w:r w:rsidR="005E25F7" w:rsidRPr="00394A5B">
        <w:rPr>
          <w:rFonts w:cs="Arial"/>
        </w:rPr>
        <w:t xml:space="preserve">May </w:t>
      </w:r>
      <w:r w:rsidR="00DF7498" w:rsidRPr="00394A5B">
        <w:rPr>
          <w:rFonts w:cs="Arial"/>
        </w:rPr>
        <w:t xml:space="preserve">of </w:t>
      </w:r>
      <w:r w:rsidR="00685827">
        <w:rPr>
          <w:rFonts w:cs="Arial"/>
        </w:rPr>
        <w:t>the </w:t>
      </w:r>
      <w:r w:rsidR="00DF7498" w:rsidRPr="00394A5B">
        <w:rPr>
          <w:rFonts w:cs="Arial"/>
        </w:rPr>
        <w:t>year</w:t>
      </w:r>
      <w:r w:rsidR="00885552" w:rsidRPr="00394A5B">
        <w:rPr>
          <w:rFonts w:cs="Arial"/>
        </w:rPr>
        <w:t xml:space="preserve">.  </w:t>
      </w:r>
      <w:r w:rsidR="00394A5B">
        <w:rPr>
          <w:rFonts w:cs="Arial"/>
        </w:rPr>
        <w:t>The </w:t>
      </w:r>
      <w:r w:rsidR="00F45CFC" w:rsidRPr="00394A5B">
        <w:rPr>
          <w:rFonts w:cs="Arial"/>
        </w:rPr>
        <w:t xml:space="preserve">data are calculated by </w:t>
      </w:r>
      <w:r w:rsidR="00685827">
        <w:rPr>
          <w:rFonts w:cs="Arial"/>
        </w:rPr>
        <w:t>the </w:t>
      </w:r>
      <w:r w:rsidR="00F45CFC" w:rsidRPr="00394A5B">
        <w:rPr>
          <w:rFonts w:cs="Arial"/>
        </w:rPr>
        <w:t>Cartographic Unit, Welsh Government, using Ordnance Survey's Boundary Line data</w:t>
      </w:r>
      <w:r w:rsidR="00885552" w:rsidRPr="00394A5B">
        <w:rPr>
          <w:rFonts w:cs="Arial"/>
        </w:rPr>
        <w:t xml:space="preserve">.  </w:t>
      </w:r>
      <w:r w:rsidR="00394A5B">
        <w:rPr>
          <w:rFonts w:cs="Arial"/>
        </w:rPr>
        <w:t>The </w:t>
      </w:r>
      <w:r w:rsidR="00664DC6" w:rsidRPr="00394A5B">
        <w:rPr>
          <w:rFonts w:cs="Arial"/>
        </w:rPr>
        <w:t xml:space="preserve">modelled number of schools is derived using regression methods, taking into account </w:t>
      </w:r>
      <w:r w:rsidR="00685827">
        <w:rPr>
          <w:rFonts w:cs="Arial"/>
        </w:rPr>
        <w:t>the </w:t>
      </w:r>
      <w:r w:rsidR="00664DC6" w:rsidRPr="00394A5B">
        <w:rPr>
          <w:rFonts w:cs="Arial"/>
        </w:rPr>
        <w:t xml:space="preserve">number of pupils in maintained primary schools (see note 5) and </w:t>
      </w:r>
      <w:r w:rsidR="00685827">
        <w:rPr>
          <w:rFonts w:cs="Arial"/>
        </w:rPr>
        <w:t>the </w:t>
      </w:r>
      <w:r w:rsidR="00664DC6" w:rsidRPr="00394A5B">
        <w:rPr>
          <w:rFonts w:cs="Arial"/>
        </w:rPr>
        <w:t>population settlement indicator with a threshold of 1</w:t>
      </w:r>
      <w:r w:rsidR="00201D4D" w:rsidRPr="00394A5B">
        <w:rPr>
          <w:rFonts w:cs="Arial"/>
        </w:rPr>
        <w:t>,</w:t>
      </w:r>
      <w:r w:rsidR="00664DC6" w:rsidRPr="00394A5B">
        <w:rPr>
          <w:rFonts w:cs="Arial"/>
        </w:rPr>
        <w:t>000 (see note 2</w:t>
      </w:r>
      <w:r w:rsidR="00F45CFC" w:rsidRPr="00394A5B">
        <w:rPr>
          <w:rFonts w:cs="Arial"/>
        </w:rPr>
        <w:t>2</w:t>
      </w:r>
      <w:r w:rsidR="00664DC6" w:rsidRPr="00394A5B">
        <w:rPr>
          <w:rFonts w:cs="Arial"/>
        </w:rPr>
        <w:t>)</w:t>
      </w:r>
      <w:r w:rsidR="00885552" w:rsidRPr="00394A5B">
        <w:rPr>
          <w:rFonts w:cs="Arial"/>
        </w:rPr>
        <w:t xml:space="preserve">.  </w:t>
      </w:r>
      <w:r w:rsidR="00664DC6" w:rsidRPr="00394A5B">
        <w:rPr>
          <w:rFonts w:cs="Arial"/>
        </w:rPr>
        <w:t>Modelled rather than actual school numbers are used to avoid perverse incentives</w:t>
      </w:r>
      <w:r w:rsidR="00885552" w:rsidRPr="00394A5B">
        <w:rPr>
          <w:rFonts w:cs="Arial"/>
        </w:rPr>
        <w:t xml:space="preserve">.  </w:t>
      </w:r>
      <w:r w:rsidR="00664DC6" w:rsidRPr="00394A5B">
        <w:rPr>
          <w:rFonts w:cs="Arial"/>
        </w:rPr>
        <w:t xml:space="preserve">Distribution Sub Group paper 41 (2000) describes </w:t>
      </w:r>
      <w:r w:rsidR="00685827">
        <w:rPr>
          <w:rFonts w:cs="Arial"/>
        </w:rPr>
        <w:t>the </w:t>
      </w:r>
      <w:r w:rsidR="00664DC6" w:rsidRPr="00394A5B">
        <w:rPr>
          <w:rFonts w:cs="Arial"/>
        </w:rPr>
        <w:t>calculation of modelled number of schools.</w:t>
      </w:r>
    </w:p>
    <w:p w14:paraId="44EE10F9" w14:textId="77777777" w:rsidR="00664DC6" w:rsidRPr="00394A5B" w:rsidRDefault="00664DC6" w:rsidP="00257F83">
      <w:pPr>
        <w:keepNext/>
        <w:keepLines/>
        <w:widowControl w:val="0"/>
        <w:numPr>
          <w:ilvl w:val="0"/>
          <w:numId w:val="27"/>
        </w:numPr>
        <w:spacing w:after="60"/>
        <w:ind w:left="567" w:hanging="567"/>
        <w:rPr>
          <w:rFonts w:cs="Arial"/>
          <w:i/>
        </w:rPr>
      </w:pPr>
      <w:r w:rsidRPr="00394A5B">
        <w:rPr>
          <w:rFonts w:cs="Arial"/>
          <w:i/>
        </w:rPr>
        <w:t xml:space="preserve">Area per modelled secondary school </w:t>
      </w:r>
      <w:r w:rsidR="00B2150D" w:rsidRPr="00394A5B">
        <w:rPr>
          <w:rFonts w:cs="Arial"/>
          <w:i/>
        </w:rPr>
        <w:t>index</w:t>
      </w:r>
    </w:p>
    <w:p w14:paraId="7C0E0130" w14:textId="6DAF72E4" w:rsidR="00C94856" w:rsidRPr="00394A5B" w:rsidRDefault="00593439" w:rsidP="003D4E26">
      <w:pPr>
        <w:pStyle w:val="BodyText"/>
        <w:widowControl w:val="0"/>
        <w:rPr>
          <w:rFonts w:cs="Arial"/>
        </w:rPr>
      </w:pPr>
      <w:r w:rsidRPr="00394A5B">
        <w:rPr>
          <w:rFonts w:cs="Arial"/>
        </w:rPr>
        <w:t>L</w:t>
      </w:r>
      <w:r w:rsidR="00C94856" w:rsidRPr="00394A5B">
        <w:rPr>
          <w:rFonts w:cs="Arial"/>
        </w:rPr>
        <w:t xml:space="preserve">and area divided by a modelled number of secondary schools </w:t>
      </w:r>
      <w:r w:rsidRPr="00394A5B">
        <w:rPr>
          <w:rFonts w:cs="Arial"/>
        </w:rPr>
        <w:t>within</w:t>
      </w:r>
      <w:r w:rsidR="00C94856" w:rsidRPr="00394A5B">
        <w:rPr>
          <w:rFonts w:cs="Arial"/>
        </w:rPr>
        <w:t xml:space="preserve"> </w:t>
      </w:r>
      <w:r w:rsidR="00685827">
        <w:rPr>
          <w:rFonts w:cs="Arial"/>
        </w:rPr>
        <w:t>the </w:t>
      </w:r>
      <w:r w:rsidR="00331BCC" w:rsidRPr="00394A5B">
        <w:rPr>
          <w:rFonts w:cs="Arial"/>
        </w:rPr>
        <w:t>C</w:t>
      </w:r>
      <w:r w:rsidR="00C94856" w:rsidRPr="00394A5B">
        <w:rPr>
          <w:rFonts w:cs="Arial"/>
        </w:rPr>
        <w:t>ouncil</w:t>
      </w:r>
      <w:r w:rsidR="00331BCC" w:rsidRPr="00394A5B">
        <w:rPr>
          <w:rFonts w:cs="Arial"/>
        </w:rPr>
        <w:t>’s area</w:t>
      </w:r>
      <w:r w:rsidR="00885552" w:rsidRPr="00394A5B">
        <w:rPr>
          <w:rFonts w:cs="Arial"/>
        </w:rPr>
        <w:t xml:space="preserve">.  </w:t>
      </w:r>
      <w:r w:rsidR="00C94856" w:rsidRPr="00394A5B">
        <w:rPr>
          <w:rFonts w:cs="Arial"/>
        </w:rPr>
        <w:t xml:space="preserve">Land area is defined as </w:t>
      </w:r>
      <w:r w:rsidR="00685827">
        <w:rPr>
          <w:rFonts w:cs="Arial"/>
        </w:rPr>
        <w:t>the </w:t>
      </w:r>
      <w:r w:rsidR="00C94856" w:rsidRPr="00394A5B">
        <w:rPr>
          <w:rFonts w:cs="Arial"/>
        </w:rPr>
        <w:t xml:space="preserve">high water mark area of land in hectares </w:t>
      </w:r>
      <w:r w:rsidR="00DC0EA4" w:rsidRPr="00394A5B">
        <w:rPr>
          <w:rFonts w:cs="Arial"/>
        </w:rPr>
        <w:t>as stated above</w:t>
      </w:r>
      <w:r w:rsidR="00885552" w:rsidRPr="00394A5B">
        <w:rPr>
          <w:rFonts w:cs="Arial"/>
        </w:rPr>
        <w:t xml:space="preserve">.  </w:t>
      </w:r>
      <w:r w:rsidR="00394A5B">
        <w:rPr>
          <w:rFonts w:cs="Arial"/>
        </w:rPr>
        <w:t>The </w:t>
      </w:r>
      <w:r w:rsidR="00C94856" w:rsidRPr="00394A5B">
        <w:rPr>
          <w:rFonts w:cs="Arial"/>
        </w:rPr>
        <w:t xml:space="preserve">data are calculated by </w:t>
      </w:r>
      <w:r w:rsidR="00685827">
        <w:rPr>
          <w:rFonts w:cs="Arial"/>
        </w:rPr>
        <w:t>the </w:t>
      </w:r>
      <w:r w:rsidR="00C94856" w:rsidRPr="00394A5B">
        <w:rPr>
          <w:rFonts w:cs="Arial"/>
        </w:rPr>
        <w:t>Cartographic Unit, Welsh Government, using Ordnance Survey's Boundary Line data</w:t>
      </w:r>
      <w:r w:rsidR="00885552" w:rsidRPr="00394A5B">
        <w:rPr>
          <w:rFonts w:cs="Arial"/>
        </w:rPr>
        <w:t xml:space="preserve">.  </w:t>
      </w:r>
      <w:r w:rsidR="00394A5B">
        <w:rPr>
          <w:rFonts w:cs="Arial"/>
        </w:rPr>
        <w:t>The </w:t>
      </w:r>
      <w:r w:rsidR="00C94856" w:rsidRPr="00394A5B">
        <w:rPr>
          <w:rFonts w:cs="Arial"/>
        </w:rPr>
        <w:t xml:space="preserve">modelled number of schools is derived using regression methods, taking into account </w:t>
      </w:r>
      <w:r w:rsidR="00685827">
        <w:rPr>
          <w:rFonts w:cs="Arial"/>
        </w:rPr>
        <w:t>the </w:t>
      </w:r>
      <w:r w:rsidR="00C94856" w:rsidRPr="00394A5B">
        <w:rPr>
          <w:rFonts w:cs="Arial"/>
        </w:rPr>
        <w:t xml:space="preserve">number of pupils in maintained secondary schools (see note 6,7) and </w:t>
      </w:r>
      <w:r w:rsidR="00685827">
        <w:rPr>
          <w:rFonts w:cs="Arial"/>
        </w:rPr>
        <w:t>the </w:t>
      </w:r>
      <w:r w:rsidR="00C94856" w:rsidRPr="00394A5B">
        <w:rPr>
          <w:rFonts w:cs="Arial"/>
        </w:rPr>
        <w:t>population settlement indicator with a threshold of 7</w:t>
      </w:r>
      <w:r w:rsidR="00201D4D" w:rsidRPr="00394A5B">
        <w:rPr>
          <w:rFonts w:cs="Arial"/>
        </w:rPr>
        <w:t>,</w:t>
      </w:r>
      <w:r w:rsidR="00C94856" w:rsidRPr="00394A5B">
        <w:rPr>
          <w:rFonts w:cs="Arial"/>
        </w:rPr>
        <w:t>500 (see note 22)</w:t>
      </w:r>
      <w:r w:rsidR="00885552" w:rsidRPr="00394A5B">
        <w:rPr>
          <w:rFonts w:cs="Arial"/>
        </w:rPr>
        <w:t xml:space="preserve">.  </w:t>
      </w:r>
      <w:r w:rsidR="00C94856" w:rsidRPr="00394A5B">
        <w:rPr>
          <w:rFonts w:cs="Arial"/>
        </w:rPr>
        <w:t>Modelled, rather than actual, school numbers are used in order to avoid perverse incentives</w:t>
      </w:r>
      <w:r w:rsidR="00885552" w:rsidRPr="00394A5B">
        <w:rPr>
          <w:rFonts w:cs="Arial"/>
        </w:rPr>
        <w:t xml:space="preserve">.  </w:t>
      </w:r>
      <w:r w:rsidR="00C94856" w:rsidRPr="00394A5B">
        <w:rPr>
          <w:rFonts w:cs="Arial"/>
        </w:rPr>
        <w:t xml:space="preserve">Distribution Sub Group paper 50 (2000) describes </w:t>
      </w:r>
      <w:r w:rsidR="00685827">
        <w:rPr>
          <w:rFonts w:cs="Arial"/>
        </w:rPr>
        <w:t>the </w:t>
      </w:r>
      <w:r w:rsidR="00C94856" w:rsidRPr="00394A5B">
        <w:rPr>
          <w:rFonts w:cs="Arial"/>
        </w:rPr>
        <w:t>calculation of modelled number of schools.</w:t>
      </w:r>
    </w:p>
    <w:p w14:paraId="6A9A3CA2" w14:textId="77777777" w:rsidR="00664DC6" w:rsidRPr="00394A5B" w:rsidRDefault="00664DC6" w:rsidP="00257F83">
      <w:pPr>
        <w:keepNext/>
        <w:keepLines/>
        <w:widowControl w:val="0"/>
        <w:numPr>
          <w:ilvl w:val="0"/>
          <w:numId w:val="27"/>
        </w:numPr>
        <w:spacing w:after="60"/>
        <w:ind w:left="567" w:hanging="567"/>
        <w:rPr>
          <w:rFonts w:cs="Arial"/>
        </w:rPr>
      </w:pPr>
      <w:r w:rsidRPr="00394A5B">
        <w:rPr>
          <w:rFonts w:cs="Arial"/>
          <w:i/>
        </w:rPr>
        <w:t>Dependent children in households where head is in National Statistics Socio-economic Classification 6, 7 or 8</w:t>
      </w:r>
    </w:p>
    <w:p w14:paraId="3A15117B" w14:textId="2AC5DBF9" w:rsidR="00664DC6" w:rsidRPr="00394A5B" w:rsidRDefault="00394A5B" w:rsidP="00257F83">
      <w:pPr>
        <w:keepNext/>
        <w:keepLines/>
        <w:widowControl w:val="0"/>
        <w:rPr>
          <w:rFonts w:cs="Arial"/>
        </w:rPr>
      </w:pPr>
      <w:r>
        <w:rPr>
          <w:rFonts w:cs="Arial"/>
        </w:rPr>
        <w:t>The </w:t>
      </w:r>
      <w:r w:rsidR="00664DC6" w:rsidRPr="00394A5B">
        <w:rPr>
          <w:rFonts w:cs="Arial"/>
        </w:rPr>
        <w:t xml:space="preserve">number of dependent children resident in households where </w:t>
      </w:r>
      <w:r w:rsidR="00685827">
        <w:rPr>
          <w:rFonts w:cs="Arial"/>
        </w:rPr>
        <w:t>the </w:t>
      </w:r>
      <w:r w:rsidR="00664DC6" w:rsidRPr="00394A5B">
        <w:rPr>
          <w:rFonts w:cs="Arial"/>
        </w:rPr>
        <w:t>head of household is classed as being in a semi-routine occupation, routine occupation or never worked or long term unemployed (NS-SeC 6, 7 or 8) (2001 Population Census).</w:t>
      </w:r>
    </w:p>
    <w:p w14:paraId="711D2929" w14:textId="77777777" w:rsidR="00664DC6" w:rsidRPr="00394A5B" w:rsidRDefault="00664DC6" w:rsidP="00257F83">
      <w:pPr>
        <w:keepNext/>
        <w:keepLines/>
        <w:widowControl w:val="0"/>
        <w:numPr>
          <w:ilvl w:val="0"/>
          <w:numId w:val="27"/>
        </w:numPr>
        <w:spacing w:after="60"/>
        <w:ind w:left="567" w:hanging="567"/>
        <w:rPr>
          <w:rFonts w:cs="Arial"/>
        </w:rPr>
      </w:pPr>
      <w:r w:rsidRPr="00394A5B">
        <w:rPr>
          <w:rFonts w:cs="Arial"/>
          <w:i/>
        </w:rPr>
        <w:t>Dependent children in lone adult households</w:t>
      </w:r>
    </w:p>
    <w:p w14:paraId="06C0F69F" w14:textId="53E4216D" w:rsidR="00664DC6" w:rsidRPr="00394A5B" w:rsidRDefault="00394A5B" w:rsidP="00257F83">
      <w:pPr>
        <w:keepNext/>
        <w:keepLines/>
        <w:widowControl w:val="0"/>
        <w:rPr>
          <w:rFonts w:cs="Arial"/>
        </w:rPr>
      </w:pPr>
      <w:r>
        <w:rPr>
          <w:rFonts w:cs="Arial"/>
        </w:rPr>
        <w:t>The </w:t>
      </w:r>
      <w:r w:rsidR="00664DC6" w:rsidRPr="00394A5B">
        <w:rPr>
          <w:rFonts w:cs="Arial"/>
        </w:rPr>
        <w:t>number of dependent children resident in households where there is only one resident adult (2001 Population Census).</w:t>
      </w:r>
    </w:p>
    <w:p w14:paraId="2E0043CD" w14:textId="77777777" w:rsidR="00664DC6" w:rsidRPr="00394A5B" w:rsidRDefault="00664DC6" w:rsidP="00257F83">
      <w:pPr>
        <w:keepNext/>
        <w:keepLines/>
        <w:widowControl w:val="0"/>
        <w:numPr>
          <w:ilvl w:val="0"/>
          <w:numId w:val="27"/>
        </w:numPr>
        <w:spacing w:after="60"/>
        <w:ind w:left="567" w:hanging="567"/>
        <w:rPr>
          <w:rFonts w:cs="Arial"/>
        </w:rPr>
      </w:pPr>
      <w:r w:rsidRPr="00394A5B">
        <w:rPr>
          <w:rFonts w:cs="Arial"/>
          <w:i/>
        </w:rPr>
        <w:t>Dependent children in social rented housing</w:t>
      </w:r>
    </w:p>
    <w:p w14:paraId="5B35EB42" w14:textId="34EFE20E" w:rsidR="00664DC6" w:rsidRPr="00394A5B" w:rsidRDefault="00394A5B" w:rsidP="003D4E26">
      <w:pPr>
        <w:widowControl w:val="0"/>
        <w:rPr>
          <w:rFonts w:cs="Arial"/>
        </w:rPr>
      </w:pPr>
      <w:r>
        <w:rPr>
          <w:rFonts w:cs="Arial"/>
        </w:rPr>
        <w:t>The </w:t>
      </w:r>
      <w:r w:rsidR="00664DC6" w:rsidRPr="00394A5B">
        <w:rPr>
          <w:rFonts w:cs="Arial"/>
        </w:rPr>
        <w:t>number of dependent children resident in households in social rented housing (2001 Population Census).</w:t>
      </w:r>
    </w:p>
    <w:p w14:paraId="163F8DD9" w14:textId="77777777" w:rsidR="00664DC6" w:rsidRPr="00394A5B" w:rsidRDefault="00664DC6" w:rsidP="00257F83">
      <w:pPr>
        <w:keepNext/>
        <w:keepLines/>
        <w:widowControl w:val="0"/>
        <w:numPr>
          <w:ilvl w:val="0"/>
          <w:numId w:val="27"/>
        </w:numPr>
        <w:spacing w:after="60"/>
        <w:ind w:left="567" w:hanging="567"/>
        <w:rPr>
          <w:rFonts w:cs="Arial"/>
        </w:rPr>
      </w:pPr>
      <w:r w:rsidRPr="00394A5B">
        <w:rPr>
          <w:rFonts w:cs="Arial"/>
          <w:i/>
        </w:rPr>
        <w:t>Dependent children in overcrowded housing</w:t>
      </w:r>
    </w:p>
    <w:p w14:paraId="1F316F70" w14:textId="7074A97D" w:rsidR="00664DC6" w:rsidRPr="00394A5B" w:rsidRDefault="00394A5B" w:rsidP="003D4E26">
      <w:pPr>
        <w:widowControl w:val="0"/>
        <w:rPr>
          <w:rFonts w:cs="Arial"/>
        </w:rPr>
      </w:pPr>
      <w:r>
        <w:rPr>
          <w:rFonts w:cs="Arial"/>
        </w:rPr>
        <w:t>The </w:t>
      </w:r>
      <w:r w:rsidR="00664DC6" w:rsidRPr="00394A5B">
        <w:rPr>
          <w:rFonts w:cs="Arial"/>
        </w:rPr>
        <w:t>number of dependent children resident in overcrowded housing (2001 Population Census).</w:t>
      </w:r>
    </w:p>
    <w:p w14:paraId="245E7FA3" w14:textId="77777777" w:rsidR="00664DC6" w:rsidRPr="00394A5B" w:rsidRDefault="00664DC6" w:rsidP="00257F83">
      <w:pPr>
        <w:keepNext/>
        <w:keepLines/>
        <w:widowControl w:val="0"/>
        <w:numPr>
          <w:ilvl w:val="0"/>
          <w:numId w:val="27"/>
        </w:numPr>
        <w:spacing w:after="60"/>
        <w:ind w:left="567" w:hanging="567"/>
        <w:rPr>
          <w:rFonts w:cs="Arial"/>
        </w:rPr>
      </w:pPr>
      <w:r w:rsidRPr="00394A5B">
        <w:rPr>
          <w:rFonts w:cs="Arial"/>
          <w:i/>
        </w:rPr>
        <w:t>Pensioners living alone in households</w:t>
      </w:r>
    </w:p>
    <w:p w14:paraId="58535513" w14:textId="2F777106" w:rsidR="00664DC6" w:rsidRPr="00394A5B" w:rsidRDefault="00394A5B" w:rsidP="003D4E26">
      <w:pPr>
        <w:widowControl w:val="0"/>
        <w:rPr>
          <w:rFonts w:cs="Arial"/>
        </w:rPr>
      </w:pPr>
      <w:r>
        <w:rPr>
          <w:rFonts w:cs="Arial"/>
        </w:rPr>
        <w:t>The </w:t>
      </w:r>
      <w:r w:rsidR="00664DC6" w:rsidRPr="00394A5B">
        <w:rPr>
          <w:rFonts w:cs="Arial"/>
        </w:rPr>
        <w:t>number of persons of pensionable age (males and females aged 65 and over) residing alone in households (2001 Population Census).</w:t>
      </w:r>
    </w:p>
    <w:p w14:paraId="0E0D567C" w14:textId="77777777" w:rsidR="00664DC6" w:rsidRPr="00394A5B" w:rsidRDefault="00664DC6" w:rsidP="00257F83">
      <w:pPr>
        <w:keepNext/>
        <w:keepLines/>
        <w:widowControl w:val="0"/>
        <w:numPr>
          <w:ilvl w:val="0"/>
          <w:numId w:val="27"/>
        </w:numPr>
        <w:spacing w:after="60"/>
        <w:ind w:left="567" w:hanging="567"/>
        <w:rPr>
          <w:rFonts w:cs="Arial"/>
        </w:rPr>
      </w:pPr>
      <w:r w:rsidRPr="00394A5B">
        <w:rPr>
          <w:rFonts w:cs="Arial"/>
          <w:i/>
        </w:rPr>
        <w:t>Pensioners with a limiting long-term illness</w:t>
      </w:r>
      <w:r w:rsidRPr="00394A5B">
        <w:rPr>
          <w:rFonts w:cs="Arial"/>
        </w:rPr>
        <w:t xml:space="preserve"> </w:t>
      </w:r>
    </w:p>
    <w:p w14:paraId="30BB851A" w14:textId="3A2BBCB9" w:rsidR="00664DC6" w:rsidRPr="00394A5B" w:rsidRDefault="00394A5B" w:rsidP="00257F83">
      <w:pPr>
        <w:widowControl w:val="0"/>
        <w:rPr>
          <w:rFonts w:cs="Arial"/>
        </w:rPr>
      </w:pPr>
      <w:r>
        <w:rPr>
          <w:rFonts w:cs="Arial"/>
        </w:rPr>
        <w:t>The </w:t>
      </w:r>
      <w:r w:rsidR="00664DC6" w:rsidRPr="00394A5B">
        <w:rPr>
          <w:rFonts w:cs="Arial"/>
        </w:rPr>
        <w:t>number of usually resident persons of pensionable age (males and females aged 65 and over) with a limiting long</w:t>
      </w:r>
      <w:r w:rsidR="00664DC6" w:rsidRPr="00394A5B">
        <w:rPr>
          <w:rFonts w:cs="Arial"/>
        </w:rPr>
        <w:noBreakHyphen/>
        <w:t>term illness (2001 Population Census).</w:t>
      </w:r>
    </w:p>
    <w:p w14:paraId="58223E29" w14:textId="77777777" w:rsidR="00664DC6" w:rsidRPr="00394A5B" w:rsidRDefault="00664DC6" w:rsidP="00257F83">
      <w:pPr>
        <w:pStyle w:val="BodyText"/>
        <w:keepNext/>
        <w:keepLines/>
        <w:widowControl w:val="0"/>
        <w:numPr>
          <w:ilvl w:val="0"/>
          <w:numId w:val="27"/>
        </w:numPr>
        <w:spacing w:after="60"/>
        <w:ind w:left="567" w:hanging="567"/>
        <w:rPr>
          <w:rFonts w:cs="Arial"/>
          <w:i/>
        </w:rPr>
      </w:pPr>
      <w:r w:rsidRPr="00394A5B">
        <w:rPr>
          <w:rFonts w:cs="Arial"/>
          <w:i/>
        </w:rPr>
        <w:t>Households</w:t>
      </w:r>
      <w:r w:rsidR="00DB1B1F" w:rsidRPr="00394A5B">
        <w:rPr>
          <w:rFonts w:cs="Arial"/>
          <w:i/>
        </w:rPr>
        <w:t xml:space="preserve"> </w:t>
      </w:r>
      <w:r w:rsidRPr="00394A5B">
        <w:rPr>
          <w:rFonts w:cs="Arial"/>
          <w:i/>
        </w:rPr>
        <w:t>(where head is aged 18 to 64) with no carer</w:t>
      </w:r>
    </w:p>
    <w:p w14:paraId="34B7985E" w14:textId="777F195A" w:rsidR="00664DC6" w:rsidRPr="00394A5B" w:rsidRDefault="00394A5B" w:rsidP="003D4E26">
      <w:pPr>
        <w:widowControl w:val="0"/>
        <w:rPr>
          <w:rFonts w:cs="Arial"/>
        </w:rPr>
      </w:pPr>
      <w:r>
        <w:rPr>
          <w:rFonts w:cs="Arial"/>
        </w:rPr>
        <w:t>The </w:t>
      </w:r>
      <w:r w:rsidR="00664DC6" w:rsidRPr="00394A5B">
        <w:rPr>
          <w:rFonts w:cs="Arial"/>
        </w:rPr>
        <w:t xml:space="preserve">number of households </w:t>
      </w:r>
      <w:r w:rsidR="00E84265" w:rsidRPr="00394A5B">
        <w:rPr>
          <w:rFonts w:cs="Arial"/>
        </w:rPr>
        <w:t>containing</w:t>
      </w:r>
      <w:r w:rsidR="00664DC6" w:rsidRPr="00394A5B">
        <w:rPr>
          <w:rFonts w:cs="Arial"/>
        </w:rPr>
        <w:t xml:space="preserve"> a person wi</w:t>
      </w:r>
      <w:r w:rsidR="00B363AE" w:rsidRPr="00394A5B">
        <w:rPr>
          <w:rFonts w:cs="Arial"/>
        </w:rPr>
        <w:t>th a limiting long-term illness (</w:t>
      </w:r>
      <w:r w:rsidR="00664DC6" w:rsidRPr="00394A5B">
        <w:rPr>
          <w:rFonts w:cs="Arial"/>
        </w:rPr>
        <w:t>where</w:t>
      </w:r>
      <w:r w:rsidR="002B677A" w:rsidRPr="00394A5B">
        <w:rPr>
          <w:rFonts w:cs="Arial"/>
        </w:rPr>
        <w:t xml:space="preserve"> </w:t>
      </w:r>
      <w:r w:rsidR="00685827">
        <w:rPr>
          <w:rFonts w:cs="Arial"/>
        </w:rPr>
        <w:t>the </w:t>
      </w:r>
      <w:r w:rsidR="00664DC6" w:rsidRPr="00394A5B">
        <w:rPr>
          <w:rFonts w:cs="Arial"/>
        </w:rPr>
        <w:t xml:space="preserve">head </w:t>
      </w:r>
      <w:r w:rsidR="002B677A" w:rsidRPr="00394A5B">
        <w:rPr>
          <w:rFonts w:cs="Arial"/>
        </w:rPr>
        <w:t xml:space="preserve">of household </w:t>
      </w:r>
      <w:r w:rsidR="00664DC6" w:rsidRPr="00394A5B">
        <w:rPr>
          <w:rFonts w:cs="Arial"/>
        </w:rPr>
        <w:t>is aged between 18 and 64</w:t>
      </w:r>
      <w:r w:rsidR="00B363AE" w:rsidRPr="00394A5B">
        <w:rPr>
          <w:rFonts w:cs="Arial"/>
        </w:rPr>
        <w:t>) and no</w:t>
      </w:r>
      <w:r w:rsidR="00E84265" w:rsidRPr="00394A5B">
        <w:rPr>
          <w:rFonts w:cs="Arial"/>
        </w:rPr>
        <w:t xml:space="preserve"> </w:t>
      </w:r>
      <w:r w:rsidR="00C71B6A" w:rsidRPr="00394A5B">
        <w:rPr>
          <w:rFonts w:cs="Arial"/>
        </w:rPr>
        <w:t>carer (2001 Population Census).</w:t>
      </w:r>
    </w:p>
    <w:p w14:paraId="473EEFD6" w14:textId="77777777" w:rsidR="00664DC6" w:rsidRPr="00394A5B" w:rsidRDefault="00664DC6" w:rsidP="00257F83">
      <w:pPr>
        <w:pStyle w:val="BodyText"/>
        <w:keepNext/>
        <w:keepLines/>
        <w:widowControl w:val="0"/>
        <w:numPr>
          <w:ilvl w:val="0"/>
          <w:numId w:val="27"/>
        </w:numPr>
        <w:spacing w:after="60"/>
        <w:ind w:left="567" w:hanging="567"/>
        <w:rPr>
          <w:rFonts w:cs="Arial"/>
          <w:i/>
        </w:rPr>
      </w:pPr>
      <w:r w:rsidRPr="00394A5B">
        <w:rPr>
          <w:rFonts w:cs="Arial"/>
          <w:i/>
        </w:rPr>
        <w:t>Adults in non-white ethnic groups</w:t>
      </w:r>
    </w:p>
    <w:p w14:paraId="5483C866" w14:textId="31FA305B" w:rsidR="00664DC6" w:rsidRPr="00394A5B" w:rsidRDefault="00394A5B" w:rsidP="003D4E26">
      <w:pPr>
        <w:widowControl w:val="0"/>
        <w:rPr>
          <w:rFonts w:cs="Arial"/>
        </w:rPr>
      </w:pPr>
      <w:r>
        <w:rPr>
          <w:rFonts w:cs="Arial"/>
        </w:rPr>
        <w:t>The </w:t>
      </w:r>
      <w:r w:rsidR="00664DC6" w:rsidRPr="00394A5B">
        <w:rPr>
          <w:rFonts w:cs="Arial"/>
        </w:rPr>
        <w:t xml:space="preserve">number of persons aged between 18 and 64 in non-white ethnic groups per head of </w:t>
      </w:r>
      <w:r w:rsidR="00685827">
        <w:rPr>
          <w:rFonts w:cs="Arial"/>
        </w:rPr>
        <w:t>the </w:t>
      </w:r>
      <w:r w:rsidR="00664DC6" w:rsidRPr="00394A5B">
        <w:rPr>
          <w:rFonts w:cs="Arial"/>
        </w:rPr>
        <w:t>population aged 18 to 64 (2001 Population Census).</w:t>
      </w:r>
    </w:p>
    <w:p w14:paraId="009ED8D7" w14:textId="20A69850" w:rsidR="00664DC6" w:rsidRPr="00394A5B" w:rsidRDefault="00664DC6" w:rsidP="00257F83">
      <w:pPr>
        <w:pStyle w:val="BodyText"/>
        <w:keepNext/>
        <w:keepLines/>
        <w:widowControl w:val="0"/>
        <w:numPr>
          <w:ilvl w:val="0"/>
          <w:numId w:val="27"/>
        </w:numPr>
        <w:spacing w:after="60"/>
        <w:ind w:left="567" w:hanging="567"/>
        <w:rPr>
          <w:rFonts w:cs="Arial"/>
        </w:rPr>
      </w:pPr>
      <w:r w:rsidRPr="00394A5B">
        <w:rPr>
          <w:rFonts w:cs="Arial"/>
          <w:i/>
        </w:rPr>
        <w:t xml:space="preserve">Population aged under 18 in wards with population weighted density greater than </w:t>
      </w:r>
      <w:r w:rsidR="00685827">
        <w:rPr>
          <w:rFonts w:cs="Arial"/>
          <w:i/>
        </w:rPr>
        <w:t>the </w:t>
      </w:r>
      <w:r w:rsidRPr="00394A5B">
        <w:rPr>
          <w:rFonts w:cs="Arial"/>
          <w:i/>
        </w:rPr>
        <w:t>Welsh average</w:t>
      </w:r>
    </w:p>
    <w:p w14:paraId="68F16381" w14:textId="48DCED01" w:rsidR="00664DC6" w:rsidRPr="00394A5B" w:rsidRDefault="00394A5B" w:rsidP="003D4E26">
      <w:pPr>
        <w:widowControl w:val="0"/>
        <w:rPr>
          <w:rFonts w:cs="Arial"/>
        </w:rPr>
      </w:pPr>
      <w:r>
        <w:rPr>
          <w:rFonts w:cs="Arial"/>
        </w:rPr>
        <w:t>The </w:t>
      </w:r>
      <w:r w:rsidR="00664DC6" w:rsidRPr="00394A5B">
        <w:rPr>
          <w:rFonts w:cs="Arial"/>
        </w:rPr>
        <w:t xml:space="preserve">total number of persons aged under 18 usually resident in </w:t>
      </w:r>
      <w:r w:rsidR="00685827">
        <w:rPr>
          <w:rFonts w:cs="Arial"/>
        </w:rPr>
        <w:t>the </w:t>
      </w:r>
      <w:r w:rsidR="00331BCC" w:rsidRPr="00394A5B">
        <w:rPr>
          <w:rFonts w:cs="Arial"/>
        </w:rPr>
        <w:t>C</w:t>
      </w:r>
      <w:r w:rsidR="00664DC6" w:rsidRPr="00394A5B">
        <w:rPr>
          <w:rFonts w:cs="Arial"/>
        </w:rPr>
        <w:t xml:space="preserve">ouncil area who reside in wards where </w:t>
      </w:r>
      <w:r w:rsidR="00685827">
        <w:rPr>
          <w:rFonts w:cs="Arial"/>
        </w:rPr>
        <w:t>the </w:t>
      </w:r>
      <w:r w:rsidR="00664DC6" w:rsidRPr="00394A5B">
        <w:rPr>
          <w:rFonts w:cs="Arial"/>
        </w:rPr>
        <w:t xml:space="preserve">result of multiplying </w:t>
      </w:r>
      <w:r w:rsidR="00685827">
        <w:rPr>
          <w:rFonts w:cs="Arial"/>
        </w:rPr>
        <w:t>the </w:t>
      </w:r>
      <w:r w:rsidR="00664DC6" w:rsidRPr="00394A5B">
        <w:rPr>
          <w:rFonts w:cs="Arial"/>
        </w:rPr>
        <w:t xml:space="preserve">usually resident population aged under 18 by </w:t>
      </w:r>
      <w:r w:rsidR="00685827">
        <w:rPr>
          <w:rFonts w:cs="Arial"/>
        </w:rPr>
        <w:t>the </w:t>
      </w:r>
      <w:r w:rsidR="00664DC6" w:rsidRPr="00394A5B">
        <w:rPr>
          <w:rFonts w:cs="Arial"/>
        </w:rPr>
        <w:t xml:space="preserve">usually resident population and dividing by </w:t>
      </w:r>
      <w:r w:rsidR="00685827">
        <w:rPr>
          <w:rFonts w:cs="Arial"/>
        </w:rPr>
        <w:t>the </w:t>
      </w:r>
      <w:r w:rsidR="00664DC6" w:rsidRPr="00394A5B">
        <w:rPr>
          <w:rFonts w:cs="Arial"/>
        </w:rPr>
        <w:t xml:space="preserve">area in hectares is greater than </w:t>
      </w:r>
      <w:r w:rsidR="00685827">
        <w:rPr>
          <w:rFonts w:cs="Arial"/>
        </w:rPr>
        <w:t>the </w:t>
      </w:r>
      <w:r w:rsidR="00664DC6" w:rsidRPr="00394A5B">
        <w:rPr>
          <w:rFonts w:cs="Arial"/>
        </w:rPr>
        <w:t>average over all Welsh wards (2001 Population Census).</w:t>
      </w:r>
    </w:p>
    <w:p w14:paraId="38C55F70" w14:textId="77777777" w:rsidR="00664DC6" w:rsidRPr="00394A5B" w:rsidRDefault="00664DC6" w:rsidP="00257F83">
      <w:pPr>
        <w:keepNext/>
        <w:keepLines/>
        <w:numPr>
          <w:ilvl w:val="0"/>
          <w:numId w:val="27"/>
        </w:numPr>
        <w:spacing w:after="60"/>
        <w:ind w:left="567" w:hanging="567"/>
        <w:rPr>
          <w:rFonts w:cs="Arial"/>
        </w:rPr>
      </w:pPr>
      <w:r w:rsidRPr="00394A5B">
        <w:rPr>
          <w:rFonts w:cs="Arial"/>
          <w:i/>
        </w:rPr>
        <w:t>Dispersion, with various thresholds</w:t>
      </w:r>
    </w:p>
    <w:p w14:paraId="06EB1186" w14:textId="2CCA0F94" w:rsidR="00664DC6" w:rsidRPr="00394A5B" w:rsidRDefault="00664DC6" w:rsidP="00257F83">
      <w:pPr>
        <w:keepNext/>
        <w:rPr>
          <w:rFonts w:cs="Arial"/>
        </w:rPr>
      </w:pPr>
      <w:r w:rsidRPr="00394A5B">
        <w:rPr>
          <w:rFonts w:cs="Arial"/>
        </w:rPr>
        <w:t xml:space="preserve">This is a measure designed to capture </w:t>
      </w:r>
      <w:r w:rsidR="00685827">
        <w:rPr>
          <w:rFonts w:cs="Arial"/>
        </w:rPr>
        <w:t>the </w:t>
      </w:r>
      <w:r w:rsidRPr="00394A5B">
        <w:rPr>
          <w:rFonts w:cs="Arial"/>
        </w:rPr>
        <w:t>additional time and distance costs associated with service delivery to dispersed communities</w:t>
      </w:r>
      <w:r w:rsidR="00885552" w:rsidRPr="00394A5B">
        <w:rPr>
          <w:rFonts w:cs="Arial"/>
        </w:rPr>
        <w:t xml:space="preserve">.  </w:t>
      </w:r>
      <w:r w:rsidR="00394A5B">
        <w:rPr>
          <w:rFonts w:cs="Arial"/>
        </w:rPr>
        <w:t>The </w:t>
      </w:r>
      <w:r w:rsidRPr="00394A5B">
        <w:rPr>
          <w:rFonts w:cs="Arial"/>
        </w:rPr>
        <w:t xml:space="preserve">parameter is calculated to settlement centroids within each </w:t>
      </w:r>
      <w:r w:rsidR="00331BCC" w:rsidRPr="00394A5B">
        <w:rPr>
          <w:rFonts w:cs="Arial"/>
        </w:rPr>
        <w:t xml:space="preserve">Council </w:t>
      </w:r>
      <w:r w:rsidRPr="00394A5B">
        <w:rPr>
          <w:rFonts w:cs="Arial"/>
        </w:rPr>
        <w:t xml:space="preserve">with “key” settlements defined on </w:t>
      </w:r>
      <w:r w:rsidR="00685827">
        <w:rPr>
          <w:rFonts w:cs="Arial"/>
        </w:rPr>
        <w:t>the </w:t>
      </w:r>
      <w:r w:rsidRPr="00394A5B">
        <w:rPr>
          <w:rFonts w:cs="Arial"/>
        </w:rPr>
        <w:t xml:space="preserve">basis of varying population threshold criteria (report commissioned by </w:t>
      </w:r>
      <w:r w:rsidR="00685827">
        <w:rPr>
          <w:rFonts w:cs="Arial"/>
        </w:rPr>
        <w:t>the </w:t>
      </w:r>
      <w:r w:rsidRPr="00394A5B">
        <w:rPr>
          <w:rFonts w:cs="Arial"/>
        </w:rPr>
        <w:t xml:space="preserve">National Assembly </w:t>
      </w:r>
      <w:r w:rsidR="00E31AF0" w:rsidRPr="00394A5B">
        <w:rPr>
          <w:rFonts w:cs="Arial"/>
        </w:rPr>
        <w:t xml:space="preserve">for Wales </w:t>
      </w:r>
      <w:r w:rsidRPr="00394A5B">
        <w:rPr>
          <w:rFonts w:cs="Arial"/>
        </w:rPr>
        <w:t>from Pion Economics and NWRRL “</w:t>
      </w:r>
      <w:r w:rsidR="00394A5B">
        <w:rPr>
          <w:rFonts w:cs="Arial"/>
        </w:rPr>
        <w:t>The </w:t>
      </w:r>
      <w:r w:rsidRPr="00394A5B">
        <w:rPr>
          <w:rFonts w:cs="Arial"/>
        </w:rPr>
        <w:t xml:space="preserve">Derivation of Population Distribution Measures for Use in </w:t>
      </w:r>
      <w:r w:rsidR="00685827">
        <w:rPr>
          <w:rFonts w:cs="Arial"/>
        </w:rPr>
        <w:t>the </w:t>
      </w:r>
      <w:r w:rsidRPr="00394A5B">
        <w:rPr>
          <w:rFonts w:cs="Arial"/>
        </w:rPr>
        <w:t>Calculations of SSAs in Wales”)</w:t>
      </w:r>
      <w:r w:rsidR="00386AE9" w:rsidRPr="00394A5B">
        <w:rPr>
          <w:rFonts w:cs="Arial"/>
        </w:rPr>
        <w:t>.</w:t>
      </w:r>
    </w:p>
    <w:p w14:paraId="7E723E0F" w14:textId="77777777" w:rsidR="00664DC6" w:rsidRPr="00394A5B" w:rsidRDefault="00664DC6" w:rsidP="00257F83">
      <w:pPr>
        <w:keepNext/>
        <w:keepLines/>
        <w:widowControl w:val="0"/>
        <w:numPr>
          <w:ilvl w:val="0"/>
          <w:numId w:val="27"/>
        </w:numPr>
        <w:spacing w:after="60"/>
        <w:ind w:left="567" w:hanging="567"/>
        <w:rPr>
          <w:rFonts w:cs="Arial"/>
        </w:rPr>
      </w:pPr>
      <w:r w:rsidRPr="00394A5B">
        <w:rPr>
          <w:rFonts w:cs="Arial"/>
          <w:i/>
        </w:rPr>
        <w:t>Settlement, with various thresholds</w:t>
      </w:r>
    </w:p>
    <w:p w14:paraId="7FC3C919" w14:textId="00AE7FD1" w:rsidR="00664DC6" w:rsidRPr="00394A5B" w:rsidRDefault="00394A5B" w:rsidP="003D4E26">
      <w:pPr>
        <w:widowControl w:val="0"/>
        <w:rPr>
          <w:rFonts w:cs="Arial"/>
        </w:rPr>
      </w:pPr>
      <w:r>
        <w:rPr>
          <w:rFonts w:cs="Arial"/>
        </w:rPr>
        <w:t>The </w:t>
      </w:r>
      <w:r w:rsidR="00664DC6" w:rsidRPr="00394A5B">
        <w:rPr>
          <w:rFonts w:cs="Arial"/>
        </w:rPr>
        <w:t xml:space="preserve">population in each </w:t>
      </w:r>
      <w:r w:rsidR="00331BCC" w:rsidRPr="00394A5B">
        <w:rPr>
          <w:rFonts w:cs="Arial"/>
        </w:rPr>
        <w:t xml:space="preserve">Council area </w:t>
      </w:r>
      <w:r w:rsidR="00664DC6" w:rsidRPr="00394A5B">
        <w:rPr>
          <w:rFonts w:cs="Arial"/>
        </w:rPr>
        <w:t xml:space="preserve">outside settlements above </w:t>
      </w:r>
      <w:r w:rsidR="00685827">
        <w:rPr>
          <w:rFonts w:cs="Arial"/>
        </w:rPr>
        <w:t>the </w:t>
      </w:r>
      <w:r w:rsidR="00664DC6" w:rsidRPr="00394A5B">
        <w:rPr>
          <w:rFonts w:cs="Arial"/>
        </w:rPr>
        <w:t xml:space="preserve">specified threshold population size using </w:t>
      </w:r>
      <w:r w:rsidR="00685827">
        <w:rPr>
          <w:rFonts w:cs="Arial"/>
        </w:rPr>
        <w:t>the </w:t>
      </w:r>
      <w:r w:rsidR="00664DC6" w:rsidRPr="00394A5B">
        <w:rPr>
          <w:rFonts w:cs="Arial"/>
        </w:rPr>
        <w:t xml:space="preserve">population figures from </w:t>
      </w:r>
      <w:r w:rsidR="00685827">
        <w:rPr>
          <w:rFonts w:cs="Arial"/>
        </w:rPr>
        <w:t>the </w:t>
      </w:r>
      <w:r w:rsidR="00664DC6" w:rsidRPr="00394A5B">
        <w:rPr>
          <w:rFonts w:cs="Arial"/>
        </w:rPr>
        <w:t xml:space="preserve">1991 Population Census (report commissioned by </w:t>
      </w:r>
      <w:r w:rsidR="00685827">
        <w:rPr>
          <w:rFonts w:cs="Arial"/>
        </w:rPr>
        <w:t>the </w:t>
      </w:r>
      <w:r w:rsidR="00664DC6" w:rsidRPr="00394A5B">
        <w:rPr>
          <w:rFonts w:cs="Arial"/>
        </w:rPr>
        <w:t>National Assembly from Pion Economics and NWRRL “</w:t>
      </w:r>
      <w:r>
        <w:rPr>
          <w:rFonts w:cs="Arial"/>
        </w:rPr>
        <w:t>The </w:t>
      </w:r>
      <w:r w:rsidR="00664DC6" w:rsidRPr="00394A5B">
        <w:rPr>
          <w:rFonts w:cs="Arial"/>
        </w:rPr>
        <w:t xml:space="preserve">Derivation of Population Distribution Measures for Use in </w:t>
      </w:r>
      <w:r w:rsidR="00685827">
        <w:rPr>
          <w:rFonts w:cs="Arial"/>
        </w:rPr>
        <w:t>the </w:t>
      </w:r>
      <w:r w:rsidR="00664DC6" w:rsidRPr="00394A5B">
        <w:rPr>
          <w:rFonts w:cs="Arial"/>
        </w:rPr>
        <w:t>Calculations of SSAs in Wales”)</w:t>
      </w:r>
      <w:r w:rsidR="00885552" w:rsidRPr="00394A5B">
        <w:rPr>
          <w:rFonts w:cs="Arial"/>
        </w:rPr>
        <w:t>.</w:t>
      </w:r>
    </w:p>
    <w:p w14:paraId="3E298756" w14:textId="77777777" w:rsidR="00664DC6" w:rsidRPr="00394A5B" w:rsidRDefault="00664DC6" w:rsidP="00257F83">
      <w:pPr>
        <w:keepNext/>
        <w:keepLines/>
        <w:widowControl w:val="0"/>
        <w:numPr>
          <w:ilvl w:val="0"/>
          <w:numId w:val="27"/>
        </w:numPr>
        <w:spacing w:after="60"/>
        <w:ind w:left="567" w:hanging="567"/>
        <w:rPr>
          <w:rFonts w:cs="Arial"/>
        </w:rPr>
      </w:pPr>
      <w:r w:rsidRPr="00394A5B">
        <w:rPr>
          <w:rFonts w:cs="Arial"/>
          <w:i/>
        </w:rPr>
        <w:t>Population within settlement threshold</w:t>
      </w:r>
    </w:p>
    <w:p w14:paraId="5A39D57E" w14:textId="0D9F5B78" w:rsidR="00664DC6" w:rsidRPr="00394A5B" w:rsidRDefault="00394A5B" w:rsidP="003D4E26">
      <w:pPr>
        <w:widowControl w:val="0"/>
        <w:rPr>
          <w:rFonts w:cs="Arial"/>
        </w:rPr>
      </w:pPr>
      <w:r>
        <w:rPr>
          <w:rFonts w:cs="Arial"/>
        </w:rPr>
        <w:t>The </w:t>
      </w:r>
      <w:r w:rsidR="00664DC6" w:rsidRPr="00394A5B">
        <w:rPr>
          <w:rFonts w:cs="Arial"/>
        </w:rPr>
        <w:t xml:space="preserve">population in each </w:t>
      </w:r>
      <w:r w:rsidR="00331BCC" w:rsidRPr="00394A5B">
        <w:rPr>
          <w:rFonts w:cs="Arial"/>
        </w:rPr>
        <w:t xml:space="preserve">Council area </w:t>
      </w:r>
      <w:r w:rsidR="00664DC6" w:rsidRPr="00394A5B">
        <w:rPr>
          <w:rFonts w:cs="Arial"/>
        </w:rPr>
        <w:t xml:space="preserve">within settlements above </w:t>
      </w:r>
      <w:r w:rsidR="00685827">
        <w:rPr>
          <w:rFonts w:cs="Arial"/>
        </w:rPr>
        <w:t>the </w:t>
      </w:r>
      <w:r w:rsidR="00664DC6" w:rsidRPr="00394A5B">
        <w:rPr>
          <w:rFonts w:cs="Arial"/>
        </w:rPr>
        <w:t xml:space="preserve">specified threshold population size using </w:t>
      </w:r>
      <w:r w:rsidR="00685827">
        <w:rPr>
          <w:rFonts w:cs="Arial"/>
        </w:rPr>
        <w:t>the </w:t>
      </w:r>
      <w:r w:rsidR="00664DC6" w:rsidRPr="00394A5B">
        <w:rPr>
          <w:rFonts w:cs="Arial"/>
        </w:rPr>
        <w:t xml:space="preserve">population figures from </w:t>
      </w:r>
      <w:r w:rsidR="00685827">
        <w:rPr>
          <w:rFonts w:cs="Arial"/>
        </w:rPr>
        <w:t>the </w:t>
      </w:r>
      <w:r w:rsidR="00664DC6" w:rsidRPr="00394A5B">
        <w:rPr>
          <w:rFonts w:cs="Arial"/>
        </w:rPr>
        <w:t xml:space="preserve">1991 Population Census (report commissioned by </w:t>
      </w:r>
      <w:r w:rsidR="00685827">
        <w:rPr>
          <w:rFonts w:cs="Arial"/>
        </w:rPr>
        <w:t>the </w:t>
      </w:r>
      <w:r w:rsidR="00664DC6" w:rsidRPr="00394A5B">
        <w:rPr>
          <w:rFonts w:cs="Arial"/>
        </w:rPr>
        <w:t>National Assembly from Pion Economics and NWRRL “</w:t>
      </w:r>
      <w:r>
        <w:rPr>
          <w:rFonts w:cs="Arial"/>
        </w:rPr>
        <w:t>The </w:t>
      </w:r>
      <w:r w:rsidR="00664DC6" w:rsidRPr="00394A5B">
        <w:rPr>
          <w:rFonts w:cs="Arial"/>
        </w:rPr>
        <w:t xml:space="preserve">Derivation of Population Distribution Measures for Use in </w:t>
      </w:r>
      <w:r w:rsidR="00685827">
        <w:rPr>
          <w:rFonts w:cs="Arial"/>
        </w:rPr>
        <w:t>the </w:t>
      </w:r>
      <w:r w:rsidR="00664DC6" w:rsidRPr="00394A5B">
        <w:rPr>
          <w:rFonts w:cs="Arial"/>
        </w:rPr>
        <w:t>Calculations of SSAs in Wales”).</w:t>
      </w:r>
    </w:p>
    <w:p w14:paraId="21D130CB" w14:textId="77777777" w:rsidR="00664DC6" w:rsidRPr="00394A5B" w:rsidRDefault="00E43E0A" w:rsidP="00257F83">
      <w:pPr>
        <w:keepNext/>
        <w:keepLines/>
        <w:widowControl w:val="0"/>
        <w:numPr>
          <w:ilvl w:val="0"/>
          <w:numId w:val="27"/>
        </w:numPr>
        <w:spacing w:after="60"/>
        <w:ind w:left="567" w:hanging="567"/>
        <w:rPr>
          <w:rFonts w:cs="Arial"/>
        </w:rPr>
      </w:pPr>
      <w:r w:rsidRPr="00394A5B">
        <w:rPr>
          <w:rFonts w:cs="Arial"/>
          <w:i/>
        </w:rPr>
        <w:t>Total number of Income Support Claimants (MIG and Non-MIG), Income Based Jobseeker’s Allowance Recipients</w:t>
      </w:r>
      <w:r w:rsidR="003D0BD5" w:rsidRPr="00394A5B">
        <w:rPr>
          <w:rFonts w:cs="Arial"/>
          <w:i/>
        </w:rPr>
        <w:t xml:space="preserve">, </w:t>
      </w:r>
      <w:r w:rsidRPr="00394A5B">
        <w:rPr>
          <w:rFonts w:cs="Arial"/>
          <w:i/>
        </w:rPr>
        <w:t xml:space="preserve"> Pension Credit Claimants</w:t>
      </w:r>
      <w:r w:rsidR="003D0BD5" w:rsidRPr="00394A5B">
        <w:rPr>
          <w:rFonts w:cs="Arial"/>
          <w:i/>
        </w:rPr>
        <w:t xml:space="preserve"> </w:t>
      </w:r>
      <w:r w:rsidR="00916D12" w:rsidRPr="00394A5B">
        <w:rPr>
          <w:rFonts w:cs="Arial"/>
          <w:i/>
        </w:rPr>
        <w:t>or</w:t>
      </w:r>
      <w:r w:rsidR="003D0BD5" w:rsidRPr="00394A5B">
        <w:rPr>
          <w:rFonts w:cs="Arial"/>
          <w:i/>
        </w:rPr>
        <w:t xml:space="preserve"> </w:t>
      </w:r>
      <w:r w:rsidR="00870C25" w:rsidRPr="00394A5B">
        <w:rPr>
          <w:rFonts w:cs="Arial"/>
          <w:i/>
        </w:rPr>
        <w:t xml:space="preserve">people on </w:t>
      </w:r>
      <w:r w:rsidR="003D0BD5" w:rsidRPr="00394A5B">
        <w:rPr>
          <w:rFonts w:cs="Arial"/>
          <w:i/>
        </w:rPr>
        <w:t>Universal Credit</w:t>
      </w:r>
      <w:r w:rsidR="0009773B" w:rsidRPr="00394A5B">
        <w:rPr>
          <w:rFonts w:cs="Arial"/>
          <w:i/>
        </w:rPr>
        <w:t xml:space="preserve"> (not in employment)</w:t>
      </w:r>
    </w:p>
    <w:p w14:paraId="7149A04E" w14:textId="27CD0642" w:rsidR="00664DC6" w:rsidRPr="00394A5B" w:rsidRDefault="00394A5B" w:rsidP="003D4E26">
      <w:pPr>
        <w:pStyle w:val="BodyText"/>
        <w:widowControl w:val="0"/>
        <w:rPr>
          <w:rFonts w:cs="Arial"/>
        </w:rPr>
      </w:pPr>
      <w:r>
        <w:rPr>
          <w:rFonts w:cs="Arial"/>
        </w:rPr>
        <w:t>The </w:t>
      </w:r>
      <w:r w:rsidR="00664DC6" w:rsidRPr="00394A5B">
        <w:rPr>
          <w:rFonts w:cs="Arial"/>
        </w:rPr>
        <w:t xml:space="preserve">estimated number of </w:t>
      </w:r>
      <w:r w:rsidR="00E43E0A" w:rsidRPr="00394A5B">
        <w:rPr>
          <w:rFonts w:cs="Arial"/>
        </w:rPr>
        <w:t xml:space="preserve">claimants </w:t>
      </w:r>
      <w:r w:rsidR="00664DC6" w:rsidRPr="00394A5B">
        <w:rPr>
          <w:rFonts w:cs="Arial"/>
        </w:rPr>
        <w:t xml:space="preserve">of </w:t>
      </w:r>
      <w:r w:rsidR="00E43E0A" w:rsidRPr="00394A5B">
        <w:rPr>
          <w:rFonts w:cs="Arial"/>
        </w:rPr>
        <w:t>I</w:t>
      </w:r>
      <w:r w:rsidR="00664DC6" w:rsidRPr="00394A5B">
        <w:rPr>
          <w:rFonts w:cs="Arial"/>
        </w:rPr>
        <w:t xml:space="preserve">ncome </w:t>
      </w:r>
      <w:r w:rsidR="00E43E0A" w:rsidRPr="00394A5B">
        <w:rPr>
          <w:rFonts w:cs="Arial"/>
        </w:rPr>
        <w:t>S</w:t>
      </w:r>
      <w:r w:rsidR="00664DC6" w:rsidRPr="00394A5B">
        <w:rPr>
          <w:rFonts w:cs="Arial"/>
        </w:rPr>
        <w:t>upport</w:t>
      </w:r>
      <w:r w:rsidR="00E43E0A" w:rsidRPr="00394A5B">
        <w:rPr>
          <w:rFonts w:cs="Arial"/>
        </w:rPr>
        <w:t xml:space="preserve"> (MIG and Non-MIG)</w:t>
      </w:r>
      <w:r w:rsidR="00AC41E5" w:rsidRPr="00394A5B">
        <w:rPr>
          <w:rFonts w:cs="Arial"/>
        </w:rPr>
        <w:t xml:space="preserve">, </w:t>
      </w:r>
      <w:r w:rsidR="00E43E0A" w:rsidRPr="00394A5B">
        <w:rPr>
          <w:rFonts w:cs="Arial"/>
        </w:rPr>
        <w:t>recipients of I</w:t>
      </w:r>
      <w:r w:rsidR="00664DC6" w:rsidRPr="00394A5B">
        <w:rPr>
          <w:rFonts w:cs="Arial"/>
        </w:rPr>
        <w:t xml:space="preserve">ncome </w:t>
      </w:r>
      <w:r w:rsidR="00E43E0A" w:rsidRPr="00394A5B">
        <w:rPr>
          <w:rFonts w:cs="Arial"/>
        </w:rPr>
        <w:t>B</w:t>
      </w:r>
      <w:r w:rsidR="00664DC6" w:rsidRPr="00394A5B">
        <w:rPr>
          <w:rFonts w:cs="Arial"/>
        </w:rPr>
        <w:t>ased Jobseeker</w:t>
      </w:r>
      <w:r w:rsidR="00E43E0A" w:rsidRPr="00394A5B">
        <w:rPr>
          <w:rFonts w:cs="Arial"/>
        </w:rPr>
        <w:t>’</w:t>
      </w:r>
      <w:r w:rsidR="00664DC6" w:rsidRPr="00394A5B">
        <w:rPr>
          <w:rFonts w:cs="Arial"/>
        </w:rPr>
        <w:t>s Allowance</w:t>
      </w:r>
      <w:r w:rsidR="0030082C" w:rsidRPr="00394A5B">
        <w:rPr>
          <w:rFonts w:cs="Arial"/>
        </w:rPr>
        <w:t xml:space="preserve"> (i</w:t>
      </w:r>
      <w:r w:rsidR="0030082C" w:rsidRPr="00394A5B">
        <w:rPr>
          <w:rFonts w:cs="Arial"/>
          <w:szCs w:val="24"/>
        </w:rPr>
        <w:t xml:space="preserve">ncome and non-income based for </w:t>
      </w:r>
      <w:r w:rsidR="00685827">
        <w:rPr>
          <w:rFonts w:cs="Arial"/>
          <w:szCs w:val="24"/>
        </w:rPr>
        <w:t>the </w:t>
      </w:r>
      <w:r w:rsidR="0030082C" w:rsidRPr="00394A5B">
        <w:rPr>
          <w:rFonts w:cs="Arial"/>
          <w:szCs w:val="24"/>
        </w:rPr>
        <w:t>latest four quarters)</w:t>
      </w:r>
      <w:r w:rsidR="00AC41E5" w:rsidRPr="00394A5B">
        <w:rPr>
          <w:rFonts w:cs="Arial"/>
        </w:rPr>
        <w:t>,</w:t>
      </w:r>
      <w:r w:rsidR="00664DC6" w:rsidRPr="00394A5B">
        <w:rPr>
          <w:rFonts w:cs="Arial"/>
        </w:rPr>
        <w:t xml:space="preserve"> </w:t>
      </w:r>
      <w:r w:rsidR="006C7404" w:rsidRPr="00394A5B">
        <w:rPr>
          <w:rFonts w:cs="Arial"/>
        </w:rPr>
        <w:t>claimants of</w:t>
      </w:r>
      <w:r w:rsidR="00664DC6" w:rsidRPr="00394A5B">
        <w:rPr>
          <w:rFonts w:cs="Arial"/>
        </w:rPr>
        <w:t xml:space="preserve"> </w:t>
      </w:r>
      <w:r w:rsidR="00E43E0A" w:rsidRPr="00394A5B">
        <w:rPr>
          <w:rFonts w:cs="Arial"/>
        </w:rPr>
        <w:t>P</w:t>
      </w:r>
      <w:r w:rsidR="00664DC6" w:rsidRPr="00394A5B">
        <w:rPr>
          <w:rFonts w:cs="Arial"/>
        </w:rPr>
        <w:t xml:space="preserve">ension </w:t>
      </w:r>
      <w:r w:rsidR="00E43E0A" w:rsidRPr="00394A5B">
        <w:rPr>
          <w:rFonts w:cs="Arial"/>
        </w:rPr>
        <w:t>C</w:t>
      </w:r>
      <w:r w:rsidR="00664DC6" w:rsidRPr="00394A5B">
        <w:rPr>
          <w:rFonts w:cs="Arial"/>
        </w:rPr>
        <w:t>red</w:t>
      </w:r>
      <w:r w:rsidR="006C7404" w:rsidRPr="00394A5B">
        <w:rPr>
          <w:rFonts w:cs="Arial"/>
        </w:rPr>
        <w:t>it</w:t>
      </w:r>
      <w:r w:rsidR="00660E57" w:rsidRPr="00394A5B">
        <w:rPr>
          <w:rFonts w:cs="Arial"/>
        </w:rPr>
        <w:t xml:space="preserve"> or </w:t>
      </w:r>
      <w:r w:rsidR="00870C25" w:rsidRPr="00394A5B">
        <w:rPr>
          <w:rFonts w:cs="Arial"/>
        </w:rPr>
        <w:t xml:space="preserve">people on </w:t>
      </w:r>
      <w:r w:rsidR="00660E57" w:rsidRPr="00394A5B">
        <w:rPr>
          <w:rFonts w:cs="Arial"/>
        </w:rPr>
        <w:t xml:space="preserve">Universal Credit (not in employment), </w:t>
      </w:r>
      <w:r w:rsidR="008B6B66" w:rsidRPr="00394A5B">
        <w:rPr>
          <w:rFonts w:cs="Arial"/>
        </w:rPr>
        <w:t>t</w:t>
      </w:r>
      <w:r w:rsidR="00E43E0A" w:rsidRPr="00394A5B">
        <w:rPr>
          <w:rFonts w:cs="Arial"/>
        </w:rPr>
        <w:t>aken on a quarterly basis and</w:t>
      </w:r>
      <w:r w:rsidR="00FB517C" w:rsidRPr="00394A5B">
        <w:rPr>
          <w:rFonts w:cs="Arial"/>
        </w:rPr>
        <w:t xml:space="preserve"> averaged over </w:t>
      </w:r>
      <w:r w:rsidR="00685827">
        <w:rPr>
          <w:rFonts w:cs="Arial"/>
        </w:rPr>
        <w:t>the </w:t>
      </w:r>
      <w:r w:rsidR="00E43E0A" w:rsidRPr="00394A5B">
        <w:rPr>
          <w:rFonts w:cs="Arial"/>
        </w:rPr>
        <w:t>12 quarters</w:t>
      </w:r>
      <w:r w:rsidR="00FB517C" w:rsidRPr="00394A5B">
        <w:rPr>
          <w:rFonts w:cs="Arial"/>
        </w:rPr>
        <w:t xml:space="preserve"> up to and including </w:t>
      </w:r>
      <w:r w:rsidR="00674AF0" w:rsidRPr="00394A5B">
        <w:rPr>
          <w:rFonts w:cs="Arial"/>
        </w:rPr>
        <w:t>February</w:t>
      </w:r>
      <w:r w:rsidR="00F61A5A" w:rsidRPr="00394A5B">
        <w:rPr>
          <w:rFonts w:cs="Arial"/>
        </w:rPr>
        <w:t xml:space="preserve"> of </w:t>
      </w:r>
      <w:r w:rsidR="00685827">
        <w:rPr>
          <w:rFonts w:cs="Arial"/>
        </w:rPr>
        <w:t>the </w:t>
      </w:r>
      <w:r w:rsidR="00F61A5A" w:rsidRPr="00394A5B">
        <w:rPr>
          <w:rFonts w:cs="Arial"/>
        </w:rPr>
        <w:t xml:space="preserve">data year </w:t>
      </w:r>
      <w:r w:rsidR="00664DC6" w:rsidRPr="00394A5B">
        <w:rPr>
          <w:rFonts w:cs="Arial"/>
        </w:rPr>
        <w:t>(</w:t>
      </w:r>
      <w:r w:rsidR="00E43E0A" w:rsidRPr="00394A5B">
        <w:rPr>
          <w:rFonts w:cs="Arial"/>
        </w:rPr>
        <w:t>NOMIS</w:t>
      </w:r>
      <w:r w:rsidR="00660E57" w:rsidRPr="00394A5B">
        <w:rPr>
          <w:rFonts w:cs="Arial"/>
        </w:rPr>
        <w:t xml:space="preserve"> and Stat-Xplore</w:t>
      </w:r>
      <w:r w:rsidR="00664DC6" w:rsidRPr="00394A5B">
        <w:rPr>
          <w:rFonts w:cs="Arial"/>
        </w:rPr>
        <w:t>).</w:t>
      </w:r>
    </w:p>
    <w:p w14:paraId="469064D9" w14:textId="77777777" w:rsidR="00D20EB8" w:rsidRPr="00394A5B" w:rsidRDefault="004106A9" w:rsidP="00257F83">
      <w:pPr>
        <w:pStyle w:val="BodyText"/>
        <w:keepNext/>
        <w:keepLines/>
        <w:widowControl w:val="0"/>
        <w:numPr>
          <w:ilvl w:val="0"/>
          <w:numId w:val="27"/>
        </w:numPr>
        <w:spacing w:after="60"/>
        <w:ind w:left="567" w:hanging="567"/>
        <w:rPr>
          <w:rFonts w:cs="Arial"/>
          <w:i/>
        </w:rPr>
      </w:pPr>
      <w:r w:rsidRPr="00394A5B">
        <w:rPr>
          <w:rFonts w:cs="Arial"/>
          <w:i/>
        </w:rPr>
        <w:t>Dependent</w:t>
      </w:r>
      <w:r w:rsidR="00D20EB8" w:rsidRPr="00394A5B">
        <w:rPr>
          <w:rFonts w:cs="Arial"/>
          <w:i/>
        </w:rPr>
        <w:t xml:space="preserve"> children in out of work families</w:t>
      </w:r>
    </w:p>
    <w:p w14:paraId="2C79BDB0" w14:textId="64F3BB80" w:rsidR="00D20EB8" w:rsidRPr="00394A5B" w:rsidRDefault="00394A5B" w:rsidP="003D4E26">
      <w:pPr>
        <w:pStyle w:val="BodyText"/>
        <w:widowControl w:val="0"/>
        <w:rPr>
          <w:rFonts w:cs="Arial"/>
        </w:rPr>
      </w:pPr>
      <w:r>
        <w:rPr>
          <w:rFonts w:cs="Arial"/>
        </w:rPr>
        <w:t>The </w:t>
      </w:r>
      <w:r w:rsidR="00D20EB8" w:rsidRPr="00394A5B">
        <w:rPr>
          <w:rFonts w:cs="Arial"/>
        </w:rPr>
        <w:t>estimated number of children in out of work families, during</w:t>
      </w:r>
      <w:r w:rsidR="00574E4B" w:rsidRPr="00394A5B">
        <w:rPr>
          <w:rFonts w:cs="Arial"/>
        </w:rPr>
        <w:t xml:space="preserve"> </w:t>
      </w:r>
      <w:r w:rsidR="00685827">
        <w:rPr>
          <w:rFonts w:cs="Arial"/>
        </w:rPr>
        <w:t>the </w:t>
      </w:r>
      <w:r w:rsidR="00C26790" w:rsidRPr="00394A5B">
        <w:rPr>
          <w:rFonts w:cs="Arial"/>
        </w:rPr>
        <w:t>data</w:t>
      </w:r>
      <w:r w:rsidR="00574E4B" w:rsidRPr="00394A5B">
        <w:rPr>
          <w:rFonts w:cs="Arial"/>
        </w:rPr>
        <w:t xml:space="preserve"> year </w:t>
      </w:r>
      <w:r w:rsidR="008A33EA" w:rsidRPr="00394A5B">
        <w:rPr>
          <w:rFonts w:cs="Arial"/>
        </w:rPr>
        <w:t>(Her Majesty’s Revenue and Customs)</w:t>
      </w:r>
      <w:r w:rsidR="00885552" w:rsidRPr="00394A5B">
        <w:rPr>
          <w:rFonts w:cs="Arial"/>
        </w:rPr>
        <w:t>.</w:t>
      </w:r>
    </w:p>
    <w:p w14:paraId="170D9FDA" w14:textId="77777777" w:rsidR="00664DC6" w:rsidRPr="00394A5B" w:rsidRDefault="00F61A5A" w:rsidP="00257F83">
      <w:pPr>
        <w:keepNext/>
        <w:keepLines/>
        <w:widowControl w:val="0"/>
        <w:numPr>
          <w:ilvl w:val="0"/>
          <w:numId w:val="27"/>
        </w:numPr>
        <w:spacing w:after="60"/>
        <w:ind w:left="567" w:hanging="567"/>
        <w:rPr>
          <w:rFonts w:cs="Arial"/>
        </w:rPr>
      </w:pPr>
      <w:r w:rsidRPr="00394A5B">
        <w:rPr>
          <w:rFonts w:cs="Arial"/>
          <w:i/>
        </w:rPr>
        <w:t xml:space="preserve">Number of Income Support Claimants (MIG and Non-MIG), Income Based Jobseeker’s Allowance Recipients </w:t>
      </w:r>
      <w:r w:rsidR="00916D12" w:rsidRPr="00394A5B">
        <w:rPr>
          <w:rFonts w:cs="Arial"/>
          <w:i/>
        </w:rPr>
        <w:t xml:space="preserve">, </w:t>
      </w:r>
      <w:r w:rsidRPr="00394A5B">
        <w:rPr>
          <w:rFonts w:cs="Arial"/>
          <w:i/>
        </w:rPr>
        <w:t xml:space="preserve">Pension Credit Claimants </w:t>
      </w:r>
      <w:r w:rsidR="00916D12" w:rsidRPr="00394A5B">
        <w:rPr>
          <w:rFonts w:cs="Arial"/>
          <w:i/>
        </w:rPr>
        <w:t xml:space="preserve">or </w:t>
      </w:r>
      <w:r w:rsidR="00870C25" w:rsidRPr="00394A5B">
        <w:rPr>
          <w:rFonts w:cs="Arial"/>
          <w:i/>
        </w:rPr>
        <w:t xml:space="preserve">people on </w:t>
      </w:r>
      <w:r w:rsidR="00916D12" w:rsidRPr="00394A5B">
        <w:rPr>
          <w:rFonts w:cs="Arial"/>
          <w:i/>
        </w:rPr>
        <w:t xml:space="preserve">Universal Credit (not in employment) </w:t>
      </w:r>
      <w:r w:rsidRPr="00394A5B">
        <w:rPr>
          <w:rFonts w:cs="Arial"/>
          <w:i/>
        </w:rPr>
        <w:t>aged 18-64</w:t>
      </w:r>
    </w:p>
    <w:p w14:paraId="00BA26C5" w14:textId="169C5E7F" w:rsidR="00664DC6" w:rsidRPr="00394A5B" w:rsidRDefault="00394A5B" w:rsidP="003D4E26">
      <w:pPr>
        <w:widowControl w:val="0"/>
        <w:rPr>
          <w:rFonts w:cs="Arial"/>
          <w:szCs w:val="24"/>
        </w:rPr>
      </w:pPr>
      <w:r>
        <w:rPr>
          <w:rFonts w:cs="Arial"/>
          <w:szCs w:val="24"/>
        </w:rPr>
        <w:t>The </w:t>
      </w:r>
      <w:r w:rsidR="00664DC6" w:rsidRPr="00394A5B">
        <w:rPr>
          <w:rFonts w:cs="Arial"/>
          <w:szCs w:val="24"/>
        </w:rPr>
        <w:t xml:space="preserve">estimated number of </w:t>
      </w:r>
      <w:r w:rsidR="00F61A5A" w:rsidRPr="00394A5B">
        <w:rPr>
          <w:rFonts w:cs="Arial"/>
          <w:szCs w:val="24"/>
        </w:rPr>
        <w:t>claimants of Income Support (MIG and Non-MIG), recipients of Income Based Jobseeker’s Allowance</w:t>
      </w:r>
      <w:r w:rsidR="0030082C" w:rsidRPr="00394A5B">
        <w:rPr>
          <w:rFonts w:cs="Arial"/>
          <w:szCs w:val="24"/>
        </w:rPr>
        <w:t xml:space="preserve"> </w:t>
      </w:r>
      <w:r w:rsidR="0030082C" w:rsidRPr="00394A5B">
        <w:rPr>
          <w:rFonts w:cs="Arial"/>
        </w:rPr>
        <w:t>(i</w:t>
      </w:r>
      <w:r w:rsidR="0030082C" w:rsidRPr="00394A5B">
        <w:rPr>
          <w:rFonts w:cs="Arial"/>
          <w:szCs w:val="24"/>
        </w:rPr>
        <w:t xml:space="preserve">ncome and non-income based for </w:t>
      </w:r>
      <w:r w:rsidR="00685827">
        <w:rPr>
          <w:rFonts w:cs="Arial"/>
          <w:szCs w:val="24"/>
        </w:rPr>
        <w:t>the </w:t>
      </w:r>
      <w:r w:rsidR="0030082C" w:rsidRPr="00394A5B">
        <w:rPr>
          <w:rFonts w:cs="Arial"/>
          <w:szCs w:val="24"/>
        </w:rPr>
        <w:t>latest four quarters)</w:t>
      </w:r>
      <w:r w:rsidR="00AC41E5" w:rsidRPr="00394A5B">
        <w:rPr>
          <w:rFonts w:cs="Arial"/>
          <w:szCs w:val="24"/>
        </w:rPr>
        <w:t xml:space="preserve">, </w:t>
      </w:r>
      <w:r w:rsidR="006C7404" w:rsidRPr="00394A5B">
        <w:rPr>
          <w:rFonts w:cs="Arial"/>
          <w:szCs w:val="24"/>
        </w:rPr>
        <w:t>claimants of</w:t>
      </w:r>
      <w:r w:rsidR="00F61A5A" w:rsidRPr="00394A5B">
        <w:rPr>
          <w:rFonts w:cs="Arial"/>
          <w:szCs w:val="24"/>
        </w:rPr>
        <w:t xml:space="preserve"> Pension Credit</w:t>
      </w:r>
      <w:r w:rsidR="00660E57" w:rsidRPr="00394A5B">
        <w:rPr>
          <w:rFonts w:cs="Arial"/>
          <w:szCs w:val="24"/>
        </w:rPr>
        <w:t xml:space="preserve"> or</w:t>
      </w:r>
      <w:r w:rsidR="00870C25" w:rsidRPr="00394A5B">
        <w:rPr>
          <w:rFonts w:cs="Arial"/>
          <w:szCs w:val="24"/>
        </w:rPr>
        <w:t xml:space="preserve"> people on</w:t>
      </w:r>
      <w:r w:rsidR="00660E57" w:rsidRPr="00394A5B">
        <w:rPr>
          <w:rFonts w:cs="Arial"/>
          <w:szCs w:val="24"/>
        </w:rPr>
        <w:t xml:space="preserve"> Universal Credit (not in employment)</w:t>
      </w:r>
      <w:r w:rsidR="00F61A5A" w:rsidRPr="00394A5B">
        <w:rPr>
          <w:rFonts w:cs="Arial"/>
          <w:szCs w:val="24"/>
        </w:rPr>
        <w:t xml:space="preserve">, </w:t>
      </w:r>
      <w:r w:rsidR="008B6B66" w:rsidRPr="00394A5B">
        <w:rPr>
          <w:rFonts w:cs="Arial"/>
          <w:szCs w:val="24"/>
        </w:rPr>
        <w:t>who</w:t>
      </w:r>
      <w:r w:rsidR="008B6B66" w:rsidRPr="00394A5B">
        <w:rPr>
          <w:rFonts w:cs="Arial"/>
          <w:sz w:val="22"/>
          <w:szCs w:val="22"/>
        </w:rPr>
        <w:t xml:space="preserve"> are </w:t>
      </w:r>
      <w:r w:rsidR="00F61A5A" w:rsidRPr="00394A5B">
        <w:rPr>
          <w:rFonts w:cs="Arial"/>
          <w:sz w:val="22"/>
          <w:szCs w:val="22"/>
        </w:rPr>
        <w:t>aged 18-64, taken on a quarterly basis and a</w:t>
      </w:r>
      <w:r w:rsidR="00F61A5A" w:rsidRPr="00394A5B">
        <w:rPr>
          <w:rFonts w:cs="Arial"/>
          <w:szCs w:val="24"/>
        </w:rPr>
        <w:t xml:space="preserve">veraged over </w:t>
      </w:r>
      <w:r w:rsidR="00685827">
        <w:rPr>
          <w:rFonts w:cs="Arial"/>
          <w:szCs w:val="24"/>
        </w:rPr>
        <w:t>the </w:t>
      </w:r>
      <w:r w:rsidR="00F61A5A" w:rsidRPr="00394A5B">
        <w:rPr>
          <w:rFonts w:cs="Arial"/>
          <w:szCs w:val="24"/>
        </w:rPr>
        <w:t xml:space="preserve">12 quarters </w:t>
      </w:r>
      <w:r w:rsidR="008A6B21" w:rsidRPr="00394A5B">
        <w:rPr>
          <w:rFonts w:cs="Arial"/>
          <w:szCs w:val="24"/>
        </w:rPr>
        <w:t>up to</w:t>
      </w:r>
      <w:r w:rsidR="00F61A5A" w:rsidRPr="00394A5B">
        <w:rPr>
          <w:rFonts w:cs="Arial"/>
          <w:szCs w:val="24"/>
        </w:rPr>
        <w:t xml:space="preserve"> and including </w:t>
      </w:r>
      <w:r w:rsidR="00674AF0" w:rsidRPr="00394A5B">
        <w:rPr>
          <w:rFonts w:cs="Arial"/>
          <w:szCs w:val="24"/>
        </w:rPr>
        <w:t>February</w:t>
      </w:r>
      <w:r w:rsidR="00660E57" w:rsidRPr="00394A5B">
        <w:rPr>
          <w:rFonts w:cs="Arial"/>
          <w:szCs w:val="24"/>
        </w:rPr>
        <w:t xml:space="preserve"> of </w:t>
      </w:r>
      <w:r w:rsidR="00685827">
        <w:rPr>
          <w:rFonts w:cs="Arial"/>
          <w:szCs w:val="24"/>
        </w:rPr>
        <w:t>the </w:t>
      </w:r>
      <w:r w:rsidR="00660E57" w:rsidRPr="00394A5B">
        <w:rPr>
          <w:rFonts w:cs="Arial"/>
          <w:szCs w:val="24"/>
        </w:rPr>
        <w:t>data year (NOMIS and Stat-Xplore).</w:t>
      </w:r>
    </w:p>
    <w:p w14:paraId="18DD197D" w14:textId="77777777" w:rsidR="00664DC6" w:rsidRPr="00394A5B" w:rsidRDefault="00BA5D71" w:rsidP="00257F83">
      <w:pPr>
        <w:keepNext/>
        <w:keepLines/>
        <w:numPr>
          <w:ilvl w:val="0"/>
          <w:numId w:val="27"/>
        </w:numPr>
        <w:spacing w:after="60"/>
        <w:ind w:left="567" w:hanging="567"/>
        <w:rPr>
          <w:rFonts w:cs="Arial"/>
        </w:rPr>
      </w:pPr>
      <w:r w:rsidRPr="00394A5B">
        <w:rPr>
          <w:rFonts w:cs="Arial"/>
          <w:i/>
        </w:rPr>
        <w:t>Number of Income Support Claimants (MIG and Non-MIG)</w:t>
      </w:r>
      <w:r w:rsidR="00FA7B19" w:rsidRPr="00394A5B">
        <w:rPr>
          <w:rFonts w:cs="Arial"/>
          <w:i/>
        </w:rPr>
        <w:t>, Income Based Jobseeker’s Allowance Recipients</w:t>
      </w:r>
      <w:r w:rsidRPr="00394A5B">
        <w:rPr>
          <w:rFonts w:cs="Arial"/>
          <w:i/>
        </w:rPr>
        <w:t xml:space="preserve"> or Pension Credit Claimants </w:t>
      </w:r>
      <w:r w:rsidR="006C7404" w:rsidRPr="00394A5B">
        <w:rPr>
          <w:rFonts w:cs="Arial"/>
          <w:i/>
        </w:rPr>
        <w:t>aged 65+</w:t>
      </w:r>
    </w:p>
    <w:p w14:paraId="75279D3E" w14:textId="46B54AEA" w:rsidR="00664DC6" w:rsidRPr="00394A5B" w:rsidRDefault="00394A5B" w:rsidP="00257F83">
      <w:pPr>
        <w:pStyle w:val="BodyText"/>
        <w:rPr>
          <w:rFonts w:cs="Arial"/>
        </w:rPr>
      </w:pPr>
      <w:r>
        <w:rPr>
          <w:rFonts w:cs="Arial"/>
        </w:rPr>
        <w:t>The </w:t>
      </w:r>
      <w:r w:rsidR="00664DC6" w:rsidRPr="00394A5B">
        <w:rPr>
          <w:rFonts w:cs="Arial"/>
        </w:rPr>
        <w:t xml:space="preserve">estimated number of </w:t>
      </w:r>
      <w:r w:rsidR="006C7404" w:rsidRPr="00394A5B">
        <w:rPr>
          <w:rFonts w:cs="Arial"/>
        </w:rPr>
        <w:t>claimants of</w:t>
      </w:r>
      <w:r w:rsidR="008B6B66" w:rsidRPr="00394A5B">
        <w:rPr>
          <w:rFonts w:cs="Arial"/>
        </w:rPr>
        <w:t xml:space="preserve"> </w:t>
      </w:r>
      <w:r w:rsidR="006C7404" w:rsidRPr="00394A5B">
        <w:rPr>
          <w:rFonts w:cs="Arial"/>
        </w:rPr>
        <w:t>Income Support (MIG and Non-MIG)</w:t>
      </w:r>
      <w:r w:rsidR="00FA7B19" w:rsidRPr="00394A5B">
        <w:rPr>
          <w:rFonts w:cs="Arial"/>
        </w:rPr>
        <w:t>,</w:t>
      </w:r>
      <w:r w:rsidR="00FA7B19" w:rsidRPr="00394A5B">
        <w:rPr>
          <w:rFonts w:cs="Arial"/>
          <w:szCs w:val="24"/>
        </w:rPr>
        <w:t xml:space="preserve"> recipients of Income Based Jobseeker’s Allowance</w:t>
      </w:r>
      <w:r w:rsidR="006C7404" w:rsidRPr="00394A5B">
        <w:rPr>
          <w:rFonts w:cs="Arial"/>
        </w:rPr>
        <w:t xml:space="preserve"> or Pension Credit</w:t>
      </w:r>
      <w:r w:rsidR="008B6B66" w:rsidRPr="00394A5B">
        <w:rPr>
          <w:rFonts w:cs="Arial"/>
        </w:rPr>
        <w:t>,</w:t>
      </w:r>
      <w:r w:rsidR="008B6B66" w:rsidRPr="00394A5B">
        <w:rPr>
          <w:rFonts w:cs="Arial"/>
          <w:i/>
        </w:rPr>
        <w:t xml:space="preserve"> </w:t>
      </w:r>
      <w:r w:rsidR="008B6B66" w:rsidRPr="00394A5B">
        <w:rPr>
          <w:rFonts w:cs="Arial"/>
        </w:rPr>
        <w:t xml:space="preserve">who are </w:t>
      </w:r>
      <w:r w:rsidR="006C7404" w:rsidRPr="00394A5B">
        <w:rPr>
          <w:rFonts w:cs="Arial"/>
        </w:rPr>
        <w:t>aged 65</w:t>
      </w:r>
      <w:r w:rsidR="008B6B66" w:rsidRPr="00394A5B">
        <w:rPr>
          <w:rFonts w:cs="Arial"/>
        </w:rPr>
        <w:t>+</w:t>
      </w:r>
      <w:r w:rsidR="006C7404" w:rsidRPr="00394A5B">
        <w:rPr>
          <w:rFonts w:cs="Arial"/>
        </w:rPr>
        <w:t xml:space="preserve">, taken on a quarterly basis and averaged over </w:t>
      </w:r>
      <w:r w:rsidR="00685827">
        <w:rPr>
          <w:rFonts w:cs="Arial"/>
        </w:rPr>
        <w:t>the </w:t>
      </w:r>
      <w:r w:rsidR="006C7404" w:rsidRPr="00394A5B">
        <w:rPr>
          <w:rFonts w:cs="Arial"/>
        </w:rPr>
        <w:t xml:space="preserve">12 quarters up to and including </w:t>
      </w:r>
      <w:r w:rsidR="00674AF0" w:rsidRPr="00394A5B">
        <w:rPr>
          <w:rFonts w:cs="Arial"/>
        </w:rPr>
        <w:t>February</w:t>
      </w:r>
      <w:r w:rsidR="006C7404" w:rsidRPr="00394A5B">
        <w:rPr>
          <w:rFonts w:cs="Arial"/>
        </w:rPr>
        <w:t xml:space="preserve"> of </w:t>
      </w:r>
      <w:r w:rsidR="00685827">
        <w:rPr>
          <w:rFonts w:cs="Arial"/>
        </w:rPr>
        <w:t>the </w:t>
      </w:r>
      <w:r w:rsidR="006C7404" w:rsidRPr="00394A5B">
        <w:rPr>
          <w:rFonts w:cs="Arial"/>
        </w:rPr>
        <w:t>data year (NOMIS).</w:t>
      </w:r>
    </w:p>
    <w:p w14:paraId="203F3CD6" w14:textId="77777777" w:rsidR="00664DC6" w:rsidRPr="00394A5B" w:rsidRDefault="006C7404" w:rsidP="00257F83">
      <w:pPr>
        <w:keepNext/>
        <w:keepLines/>
        <w:widowControl w:val="0"/>
        <w:numPr>
          <w:ilvl w:val="0"/>
          <w:numId w:val="27"/>
        </w:numPr>
        <w:spacing w:after="60"/>
        <w:ind w:left="567" w:hanging="567"/>
        <w:rPr>
          <w:rFonts w:cs="Arial"/>
        </w:rPr>
      </w:pPr>
      <w:r w:rsidRPr="00394A5B">
        <w:rPr>
          <w:rFonts w:cs="Arial"/>
          <w:i/>
        </w:rPr>
        <w:t xml:space="preserve">Number of </w:t>
      </w:r>
      <w:r w:rsidR="00664DC6" w:rsidRPr="00394A5B">
        <w:rPr>
          <w:rFonts w:cs="Arial"/>
          <w:i/>
        </w:rPr>
        <w:t xml:space="preserve">Severe </w:t>
      </w:r>
      <w:r w:rsidRPr="00394A5B">
        <w:rPr>
          <w:rFonts w:cs="Arial"/>
          <w:i/>
        </w:rPr>
        <w:t>D</w:t>
      </w:r>
      <w:r w:rsidR="00664DC6" w:rsidRPr="00394A5B">
        <w:rPr>
          <w:rFonts w:cs="Arial"/>
          <w:i/>
        </w:rPr>
        <w:t xml:space="preserve">isablement </w:t>
      </w:r>
      <w:r w:rsidRPr="00394A5B">
        <w:rPr>
          <w:rFonts w:cs="Arial"/>
          <w:i/>
        </w:rPr>
        <w:t>A</w:t>
      </w:r>
      <w:r w:rsidR="00664DC6" w:rsidRPr="00394A5B">
        <w:rPr>
          <w:rFonts w:cs="Arial"/>
          <w:i/>
        </w:rPr>
        <w:t xml:space="preserve">llowance </w:t>
      </w:r>
      <w:r w:rsidRPr="00394A5B">
        <w:rPr>
          <w:rFonts w:cs="Arial"/>
          <w:i/>
        </w:rPr>
        <w:t>or</w:t>
      </w:r>
      <w:r w:rsidR="00664DC6" w:rsidRPr="00394A5B">
        <w:rPr>
          <w:rFonts w:cs="Arial"/>
          <w:i/>
        </w:rPr>
        <w:t xml:space="preserve"> </w:t>
      </w:r>
      <w:r w:rsidRPr="00394A5B">
        <w:rPr>
          <w:rFonts w:cs="Arial"/>
          <w:i/>
        </w:rPr>
        <w:t>D</w:t>
      </w:r>
      <w:r w:rsidR="00664DC6" w:rsidRPr="00394A5B">
        <w:rPr>
          <w:rFonts w:cs="Arial"/>
          <w:i/>
        </w:rPr>
        <w:t xml:space="preserve">isability </w:t>
      </w:r>
      <w:r w:rsidRPr="00394A5B">
        <w:rPr>
          <w:rFonts w:cs="Arial"/>
          <w:i/>
        </w:rPr>
        <w:t>L</w:t>
      </w:r>
      <w:r w:rsidR="00664DC6" w:rsidRPr="00394A5B">
        <w:rPr>
          <w:rFonts w:cs="Arial"/>
          <w:i/>
        </w:rPr>
        <w:t xml:space="preserve">iving </w:t>
      </w:r>
      <w:r w:rsidRPr="00394A5B">
        <w:rPr>
          <w:rFonts w:cs="Arial"/>
          <w:i/>
        </w:rPr>
        <w:t>A</w:t>
      </w:r>
      <w:r w:rsidR="00664DC6" w:rsidRPr="00394A5B">
        <w:rPr>
          <w:rFonts w:cs="Arial"/>
          <w:i/>
        </w:rPr>
        <w:t>llowance</w:t>
      </w:r>
      <w:r w:rsidR="00916D12" w:rsidRPr="00394A5B">
        <w:rPr>
          <w:rFonts w:cs="Arial"/>
          <w:i/>
        </w:rPr>
        <w:t xml:space="preserve"> or Personal Independence Payment</w:t>
      </w:r>
      <w:r w:rsidR="00664DC6" w:rsidRPr="00394A5B">
        <w:rPr>
          <w:rFonts w:cs="Arial"/>
          <w:i/>
        </w:rPr>
        <w:t xml:space="preserve"> </w:t>
      </w:r>
      <w:r w:rsidRPr="00394A5B">
        <w:rPr>
          <w:rFonts w:cs="Arial"/>
          <w:i/>
        </w:rPr>
        <w:t>C</w:t>
      </w:r>
      <w:r w:rsidR="00664DC6" w:rsidRPr="00394A5B">
        <w:rPr>
          <w:rFonts w:cs="Arial"/>
          <w:i/>
        </w:rPr>
        <w:t>laimants aged</w:t>
      </w:r>
      <w:r w:rsidRPr="00394A5B">
        <w:rPr>
          <w:rFonts w:cs="Arial"/>
          <w:i/>
        </w:rPr>
        <w:t xml:space="preserve"> 18-64</w:t>
      </w:r>
    </w:p>
    <w:p w14:paraId="350DA72C" w14:textId="739BC1E1" w:rsidR="00916D12" w:rsidRPr="00394A5B" w:rsidRDefault="00394A5B" w:rsidP="00916D12">
      <w:pPr>
        <w:widowControl w:val="0"/>
        <w:rPr>
          <w:rFonts w:cs="Arial"/>
          <w:szCs w:val="24"/>
        </w:rPr>
      </w:pPr>
      <w:r>
        <w:rPr>
          <w:rFonts w:cs="Arial"/>
        </w:rPr>
        <w:t>The </w:t>
      </w:r>
      <w:r w:rsidR="00664DC6" w:rsidRPr="00394A5B">
        <w:rPr>
          <w:rFonts w:cs="Arial"/>
        </w:rPr>
        <w:t xml:space="preserve">estimated number of </w:t>
      </w:r>
      <w:r w:rsidR="006C7404" w:rsidRPr="00394A5B">
        <w:rPr>
          <w:rFonts w:cs="Arial"/>
        </w:rPr>
        <w:t>claimants</w:t>
      </w:r>
      <w:r w:rsidR="00664DC6" w:rsidRPr="00394A5B">
        <w:rPr>
          <w:rFonts w:cs="Arial"/>
        </w:rPr>
        <w:t xml:space="preserve"> of </w:t>
      </w:r>
      <w:r w:rsidR="006C7404" w:rsidRPr="00394A5B">
        <w:rPr>
          <w:rFonts w:cs="Arial"/>
        </w:rPr>
        <w:t>S</w:t>
      </w:r>
      <w:r w:rsidR="00664DC6" w:rsidRPr="00394A5B">
        <w:rPr>
          <w:rFonts w:cs="Arial"/>
        </w:rPr>
        <w:t xml:space="preserve">evere </w:t>
      </w:r>
      <w:r w:rsidR="006C7404" w:rsidRPr="00394A5B">
        <w:rPr>
          <w:rFonts w:cs="Arial"/>
        </w:rPr>
        <w:t>D</w:t>
      </w:r>
      <w:r w:rsidR="00664DC6" w:rsidRPr="00394A5B">
        <w:rPr>
          <w:rFonts w:cs="Arial"/>
        </w:rPr>
        <w:t xml:space="preserve">isablement </w:t>
      </w:r>
      <w:r w:rsidR="006C7404" w:rsidRPr="00394A5B">
        <w:rPr>
          <w:rFonts w:cs="Arial"/>
        </w:rPr>
        <w:t>A</w:t>
      </w:r>
      <w:r w:rsidR="00664DC6" w:rsidRPr="00394A5B">
        <w:rPr>
          <w:rFonts w:cs="Arial"/>
        </w:rPr>
        <w:t>llowance</w:t>
      </w:r>
      <w:r w:rsidR="00AC41E5" w:rsidRPr="00394A5B">
        <w:rPr>
          <w:rFonts w:cs="Arial"/>
        </w:rPr>
        <w:t xml:space="preserve">, </w:t>
      </w:r>
      <w:r w:rsidR="006C7404" w:rsidRPr="00394A5B">
        <w:rPr>
          <w:rFonts w:cs="Arial"/>
        </w:rPr>
        <w:t>D</w:t>
      </w:r>
      <w:r w:rsidR="00664DC6" w:rsidRPr="00394A5B">
        <w:rPr>
          <w:rFonts w:cs="Arial"/>
        </w:rPr>
        <w:t xml:space="preserve">isability </w:t>
      </w:r>
      <w:r w:rsidR="006C7404" w:rsidRPr="00394A5B">
        <w:rPr>
          <w:rFonts w:cs="Arial"/>
        </w:rPr>
        <w:t>L</w:t>
      </w:r>
      <w:r w:rsidR="00664DC6" w:rsidRPr="00394A5B">
        <w:rPr>
          <w:rFonts w:cs="Arial"/>
        </w:rPr>
        <w:t xml:space="preserve">iving </w:t>
      </w:r>
      <w:r w:rsidR="006C7404" w:rsidRPr="00394A5B">
        <w:rPr>
          <w:rFonts w:cs="Arial"/>
        </w:rPr>
        <w:t>A</w:t>
      </w:r>
      <w:r w:rsidR="00664DC6" w:rsidRPr="00394A5B">
        <w:rPr>
          <w:rFonts w:cs="Arial"/>
        </w:rPr>
        <w:t>llowance</w:t>
      </w:r>
      <w:r w:rsidR="00660E57" w:rsidRPr="00394A5B">
        <w:rPr>
          <w:rFonts w:cs="Arial"/>
        </w:rPr>
        <w:t xml:space="preserve"> or</w:t>
      </w:r>
      <w:r w:rsidR="00664DC6" w:rsidRPr="00394A5B">
        <w:rPr>
          <w:rFonts w:cs="Arial"/>
        </w:rPr>
        <w:t xml:space="preserve"> </w:t>
      </w:r>
      <w:r w:rsidR="00660E57" w:rsidRPr="00394A5B">
        <w:rPr>
          <w:rFonts w:cs="Arial"/>
          <w:szCs w:val="24"/>
        </w:rPr>
        <w:t xml:space="preserve">Personal Independence Payment, </w:t>
      </w:r>
      <w:r w:rsidR="008B6B66" w:rsidRPr="00394A5B">
        <w:rPr>
          <w:rFonts w:cs="Arial"/>
        </w:rPr>
        <w:t xml:space="preserve">who are </w:t>
      </w:r>
      <w:r w:rsidR="00664DC6" w:rsidRPr="00394A5B">
        <w:rPr>
          <w:rFonts w:cs="Arial"/>
        </w:rPr>
        <w:t xml:space="preserve">aged </w:t>
      </w:r>
      <w:r w:rsidR="006C7404" w:rsidRPr="00394A5B">
        <w:rPr>
          <w:rFonts w:cs="Arial"/>
        </w:rPr>
        <w:t>18-64</w:t>
      </w:r>
      <w:r w:rsidR="00664DC6" w:rsidRPr="00394A5B">
        <w:rPr>
          <w:rFonts w:cs="Arial"/>
        </w:rPr>
        <w:t xml:space="preserve">, </w:t>
      </w:r>
      <w:r w:rsidR="006C7404" w:rsidRPr="00394A5B">
        <w:rPr>
          <w:rFonts w:cs="Arial"/>
        </w:rPr>
        <w:t xml:space="preserve">taken on a quarterly basis and averaged over </w:t>
      </w:r>
      <w:r w:rsidR="00685827">
        <w:rPr>
          <w:rFonts w:cs="Arial"/>
        </w:rPr>
        <w:t>the </w:t>
      </w:r>
      <w:r w:rsidR="006C7404" w:rsidRPr="00394A5B">
        <w:rPr>
          <w:rFonts w:cs="Arial"/>
        </w:rPr>
        <w:t xml:space="preserve">12 quarters up to and including </w:t>
      </w:r>
      <w:r w:rsidR="00674AF0" w:rsidRPr="00394A5B">
        <w:rPr>
          <w:rFonts w:cs="Arial"/>
        </w:rPr>
        <w:t>February</w:t>
      </w:r>
      <w:r w:rsidR="006C7404" w:rsidRPr="00394A5B">
        <w:rPr>
          <w:rFonts w:cs="Arial"/>
        </w:rPr>
        <w:t xml:space="preserve"> of </w:t>
      </w:r>
      <w:r w:rsidR="00685827">
        <w:rPr>
          <w:rFonts w:cs="Arial"/>
        </w:rPr>
        <w:t>the </w:t>
      </w:r>
      <w:r w:rsidR="006C7404" w:rsidRPr="00394A5B">
        <w:rPr>
          <w:rFonts w:cs="Arial"/>
        </w:rPr>
        <w:t>data year (NOMIS</w:t>
      </w:r>
      <w:r w:rsidR="00660E57" w:rsidRPr="00394A5B">
        <w:rPr>
          <w:rFonts w:cs="Arial"/>
        </w:rPr>
        <w:t xml:space="preserve"> and Stat-Xplore</w:t>
      </w:r>
      <w:r w:rsidR="006C7404" w:rsidRPr="00394A5B">
        <w:rPr>
          <w:rFonts w:cs="Arial"/>
        </w:rPr>
        <w:t>).</w:t>
      </w:r>
      <w:r w:rsidR="00916D12" w:rsidRPr="00394A5B">
        <w:rPr>
          <w:rFonts w:cs="Arial"/>
        </w:rPr>
        <w:t xml:space="preserve"> </w:t>
      </w:r>
    </w:p>
    <w:p w14:paraId="29111BCF" w14:textId="77777777" w:rsidR="00664DC6" w:rsidRPr="00394A5B" w:rsidRDefault="00664DC6" w:rsidP="00257F83">
      <w:pPr>
        <w:keepNext/>
        <w:keepLines/>
        <w:widowControl w:val="0"/>
        <w:numPr>
          <w:ilvl w:val="0"/>
          <w:numId w:val="27"/>
        </w:numPr>
        <w:spacing w:after="60"/>
        <w:ind w:left="567" w:hanging="567"/>
        <w:rPr>
          <w:rFonts w:cs="Arial"/>
        </w:rPr>
      </w:pPr>
      <w:r w:rsidRPr="00394A5B">
        <w:rPr>
          <w:rFonts w:cs="Arial"/>
          <w:i/>
        </w:rPr>
        <w:t>Number of deaths from all causes</w:t>
      </w:r>
    </w:p>
    <w:p w14:paraId="10649D1C" w14:textId="2C03FFDF" w:rsidR="00664DC6" w:rsidRPr="00394A5B" w:rsidRDefault="009858F0" w:rsidP="003D4E26">
      <w:pPr>
        <w:pStyle w:val="BodyText"/>
        <w:widowControl w:val="0"/>
        <w:rPr>
          <w:rFonts w:cs="Arial"/>
        </w:rPr>
      </w:pPr>
      <w:r w:rsidRPr="00394A5B">
        <w:rPr>
          <w:rFonts w:cs="Arial"/>
        </w:rPr>
        <w:t>Registered d</w:t>
      </w:r>
      <w:r w:rsidR="007C6C2A" w:rsidRPr="00394A5B">
        <w:rPr>
          <w:rFonts w:cs="Arial"/>
        </w:rPr>
        <w:t xml:space="preserve">eaths by </w:t>
      </w:r>
      <w:r w:rsidR="008B6B66" w:rsidRPr="00394A5B">
        <w:rPr>
          <w:rFonts w:cs="Arial"/>
        </w:rPr>
        <w:t>‘</w:t>
      </w:r>
      <w:r w:rsidR="007C6C2A" w:rsidRPr="00394A5B">
        <w:rPr>
          <w:rFonts w:cs="Arial"/>
        </w:rPr>
        <w:t>local authority of usual residence</w:t>
      </w:r>
      <w:r w:rsidR="008B6B66" w:rsidRPr="00394A5B">
        <w:rPr>
          <w:rFonts w:cs="Arial"/>
        </w:rPr>
        <w:t>’</w:t>
      </w:r>
      <w:r w:rsidR="008A6B21" w:rsidRPr="00394A5B">
        <w:rPr>
          <w:rFonts w:cs="Arial"/>
        </w:rPr>
        <w:t xml:space="preserve"> </w:t>
      </w:r>
      <w:r w:rsidR="00B21F6A" w:rsidRPr="00394A5B">
        <w:rPr>
          <w:rFonts w:cs="Arial"/>
        </w:rPr>
        <w:t xml:space="preserve">compiled by </w:t>
      </w:r>
      <w:r w:rsidR="00685827">
        <w:rPr>
          <w:rFonts w:cs="Arial"/>
        </w:rPr>
        <w:t>the </w:t>
      </w:r>
      <w:r w:rsidR="00664DC6" w:rsidRPr="00394A5B">
        <w:rPr>
          <w:rFonts w:cs="Arial"/>
        </w:rPr>
        <w:t>Office for National Statistics</w:t>
      </w:r>
      <w:r w:rsidR="00B21F6A" w:rsidRPr="00394A5B">
        <w:rPr>
          <w:rFonts w:cs="Arial"/>
        </w:rPr>
        <w:t xml:space="preserve"> (ONS)</w:t>
      </w:r>
      <w:r w:rsidR="00885552" w:rsidRPr="00394A5B">
        <w:rPr>
          <w:rFonts w:cs="Arial"/>
        </w:rPr>
        <w:t>.</w:t>
      </w:r>
    </w:p>
    <w:p w14:paraId="3AAB1970" w14:textId="77777777" w:rsidR="008A33EA" w:rsidRPr="00394A5B" w:rsidRDefault="008C1F92" w:rsidP="00257F83">
      <w:pPr>
        <w:pStyle w:val="BodyText"/>
        <w:keepNext/>
        <w:keepLines/>
        <w:widowControl w:val="0"/>
        <w:numPr>
          <w:ilvl w:val="0"/>
          <w:numId w:val="27"/>
        </w:numPr>
        <w:spacing w:after="60"/>
        <w:ind w:left="567" w:hanging="567"/>
        <w:rPr>
          <w:rFonts w:cs="Arial"/>
          <w:i/>
        </w:rPr>
      </w:pPr>
      <w:r w:rsidRPr="00394A5B">
        <w:rPr>
          <w:rFonts w:cs="Arial"/>
          <w:i/>
        </w:rPr>
        <w:t>I</w:t>
      </w:r>
      <w:r w:rsidR="00317BC9" w:rsidRPr="00394A5B">
        <w:rPr>
          <w:rFonts w:cs="Arial"/>
          <w:i/>
        </w:rPr>
        <w:t>ndex</w:t>
      </w:r>
      <w:r w:rsidR="003D2422" w:rsidRPr="00394A5B">
        <w:rPr>
          <w:rFonts w:cs="Arial"/>
          <w:i/>
        </w:rPr>
        <w:t>-Weighted Working Age Population</w:t>
      </w:r>
    </w:p>
    <w:p w14:paraId="50FBA40B" w14:textId="1C7D47BE" w:rsidR="00317BC9" w:rsidRPr="00394A5B" w:rsidRDefault="008A33EA" w:rsidP="003D4E26">
      <w:pPr>
        <w:pStyle w:val="BodyText"/>
        <w:widowControl w:val="0"/>
        <w:rPr>
          <w:rFonts w:cs="Arial"/>
        </w:rPr>
      </w:pPr>
      <w:r w:rsidRPr="00394A5B">
        <w:rPr>
          <w:rFonts w:cs="Arial"/>
        </w:rPr>
        <w:t xml:space="preserve">An index derived from </w:t>
      </w:r>
      <w:r w:rsidR="00685827">
        <w:rPr>
          <w:rFonts w:cs="Arial"/>
        </w:rPr>
        <w:t>the </w:t>
      </w:r>
      <w:r w:rsidRPr="00394A5B">
        <w:rPr>
          <w:rFonts w:cs="Arial"/>
        </w:rPr>
        <w:t xml:space="preserve">statistical analysis of Gross Value Added </w:t>
      </w:r>
      <w:r w:rsidR="003D2422" w:rsidRPr="00394A5B">
        <w:rPr>
          <w:rFonts w:cs="Arial"/>
        </w:rPr>
        <w:t>multiplied by</w:t>
      </w:r>
      <w:r w:rsidR="00574E4B" w:rsidRPr="00394A5B">
        <w:rPr>
          <w:rFonts w:cs="Arial"/>
        </w:rPr>
        <w:t xml:space="preserve"> working age population (see note 1) </w:t>
      </w:r>
      <w:r w:rsidRPr="00394A5B">
        <w:rPr>
          <w:rFonts w:cs="Arial"/>
        </w:rPr>
        <w:t xml:space="preserve">set out in Distribution </w:t>
      </w:r>
      <w:r w:rsidR="00331BCC" w:rsidRPr="00394A5B">
        <w:rPr>
          <w:rFonts w:cs="Arial"/>
        </w:rPr>
        <w:t>S</w:t>
      </w:r>
      <w:r w:rsidRPr="00394A5B">
        <w:rPr>
          <w:rFonts w:cs="Arial"/>
        </w:rPr>
        <w:t xml:space="preserve">ub </w:t>
      </w:r>
      <w:r w:rsidR="00331BCC" w:rsidRPr="00394A5B">
        <w:rPr>
          <w:rFonts w:cs="Arial"/>
        </w:rPr>
        <w:t>G</w:t>
      </w:r>
      <w:r w:rsidRPr="00394A5B">
        <w:rPr>
          <w:rFonts w:cs="Arial"/>
        </w:rPr>
        <w:t xml:space="preserve">roup </w:t>
      </w:r>
      <w:r w:rsidR="00DB1B1F" w:rsidRPr="00394A5B">
        <w:rPr>
          <w:rFonts w:cs="Arial"/>
        </w:rPr>
        <w:t>p</w:t>
      </w:r>
      <w:r w:rsidRPr="00394A5B">
        <w:rPr>
          <w:rFonts w:cs="Arial"/>
        </w:rPr>
        <w:t>aper 35</w:t>
      </w:r>
      <w:r w:rsidR="00DB1B1F" w:rsidRPr="00394A5B">
        <w:rPr>
          <w:rFonts w:cs="Arial"/>
        </w:rPr>
        <w:t xml:space="preserve"> (2007)</w:t>
      </w:r>
      <w:r w:rsidRPr="00394A5B">
        <w:rPr>
          <w:rFonts w:cs="Arial"/>
        </w:rPr>
        <w:t>.</w:t>
      </w:r>
    </w:p>
    <w:p w14:paraId="532BC54C" w14:textId="77777777" w:rsidR="00664DC6" w:rsidRPr="00394A5B" w:rsidRDefault="0058625E" w:rsidP="00257F83">
      <w:pPr>
        <w:keepNext/>
        <w:keepLines/>
        <w:widowControl w:val="0"/>
        <w:numPr>
          <w:ilvl w:val="0"/>
          <w:numId w:val="27"/>
        </w:numPr>
        <w:spacing w:after="60"/>
        <w:ind w:left="567" w:hanging="567"/>
        <w:rPr>
          <w:rFonts w:cs="Arial"/>
        </w:rPr>
      </w:pPr>
      <w:r w:rsidRPr="00394A5B">
        <w:rPr>
          <w:rFonts w:cs="Arial"/>
          <w:i/>
        </w:rPr>
        <w:t>Total homelessness decisions</w:t>
      </w:r>
      <w:r w:rsidR="00664DC6" w:rsidRPr="00394A5B">
        <w:rPr>
          <w:rFonts w:cs="Arial"/>
          <w:i/>
        </w:rPr>
        <w:t xml:space="preserve"> </w:t>
      </w:r>
    </w:p>
    <w:p w14:paraId="513CD484" w14:textId="32B90529" w:rsidR="002A6F69" w:rsidRPr="00394A5B" w:rsidRDefault="002A6F69" w:rsidP="003D4E26">
      <w:pPr>
        <w:pStyle w:val="BodyText"/>
        <w:widowControl w:val="0"/>
        <w:rPr>
          <w:rFonts w:cs="Arial"/>
        </w:rPr>
      </w:pPr>
      <w:r w:rsidRPr="00394A5B">
        <w:rPr>
          <w:rFonts w:cs="Arial"/>
          <w:szCs w:val="24"/>
        </w:rPr>
        <w:t>A three</w:t>
      </w:r>
      <w:r w:rsidR="002733CE" w:rsidRPr="00394A5B">
        <w:rPr>
          <w:rFonts w:cs="Arial"/>
          <w:szCs w:val="24"/>
        </w:rPr>
        <w:t>-</w:t>
      </w:r>
      <w:r w:rsidRPr="00394A5B">
        <w:rPr>
          <w:rFonts w:cs="Arial"/>
          <w:szCs w:val="24"/>
        </w:rPr>
        <w:t xml:space="preserve">year average of </w:t>
      </w:r>
      <w:r w:rsidR="00685827">
        <w:rPr>
          <w:rFonts w:cs="Arial"/>
          <w:szCs w:val="24"/>
        </w:rPr>
        <w:t>the </w:t>
      </w:r>
      <w:r w:rsidRPr="00394A5B">
        <w:rPr>
          <w:rFonts w:cs="Arial"/>
        </w:rPr>
        <w:t xml:space="preserve">annual number of total homelessness decisions taken by eligibility and </w:t>
      </w:r>
      <w:r w:rsidR="00331BCC" w:rsidRPr="00394A5B">
        <w:rPr>
          <w:rFonts w:cs="Arial"/>
        </w:rPr>
        <w:t xml:space="preserve">a Council </w:t>
      </w:r>
      <w:r w:rsidRPr="00394A5B">
        <w:rPr>
          <w:rFonts w:cs="Arial"/>
        </w:rPr>
        <w:t xml:space="preserve">(as reported by </w:t>
      </w:r>
      <w:r w:rsidR="00331BCC" w:rsidRPr="00394A5B">
        <w:rPr>
          <w:rFonts w:cs="Arial"/>
        </w:rPr>
        <w:t>C</w:t>
      </w:r>
      <w:r w:rsidRPr="00394A5B">
        <w:rPr>
          <w:rFonts w:cs="Arial"/>
        </w:rPr>
        <w:t xml:space="preserve">ouncils to </w:t>
      </w:r>
      <w:r w:rsidR="00685827">
        <w:rPr>
          <w:rFonts w:cs="Arial"/>
        </w:rPr>
        <w:t>the </w:t>
      </w:r>
      <w:r w:rsidRPr="00394A5B">
        <w:rPr>
          <w:rFonts w:cs="Arial"/>
        </w:rPr>
        <w:t>Welsh Government on form WHO12)</w:t>
      </w:r>
      <w:r w:rsidR="00B51FCD" w:rsidRPr="00394A5B">
        <w:rPr>
          <w:rFonts w:cs="Arial"/>
        </w:rPr>
        <w:t xml:space="preserve"> up to and including March of </w:t>
      </w:r>
      <w:r w:rsidR="00685827">
        <w:rPr>
          <w:rFonts w:cs="Arial"/>
        </w:rPr>
        <w:t>the </w:t>
      </w:r>
      <w:r w:rsidR="00B51FCD" w:rsidRPr="00394A5B">
        <w:rPr>
          <w:rFonts w:cs="Arial"/>
        </w:rPr>
        <w:t>data year</w:t>
      </w:r>
      <w:r w:rsidRPr="00394A5B">
        <w:rPr>
          <w:rFonts w:cs="Arial"/>
        </w:rPr>
        <w:t>.</w:t>
      </w:r>
    </w:p>
    <w:p w14:paraId="2E120D50" w14:textId="77777777" w:rsidR="00664DC6" w:rsidRPr="00394A5B" w:rsidRDefault="001F3AB4" w:rsidP="00257F83">
      <w:pPr>
        <w:keepNext/>
        <w:keepLines/>
        <w:widowControl w:val="0"/>
        <w:numPr>
          <w:ilvl w:val="0"/>
          <w:numId w:val="27"/>
        </w:numPr>
        <w:spacing w:after="60"/>
        <w:ind w:left="567" w:hanging="567"/>
        <w:rPr>
          <w:rFonts w:cs="Arial"/>
        </w:rPr>
      </w:pPr>
      <w:r w:rsidRPr="00394A5B">
        <w:rPr>
          <w:rFonts w:cs="Arial"/>
          <w:i/>
        </w:rPr>
        <w:t>Housing General Capital Funding (GCF)</w:t>
      </w:r>
    </w:p>
    <w:p w14:paraId="05957C46" w14:textId="659480B0" w:rsidR="001F3AB4" w:rsidRPr="00394A5B" w:rsidRDefault="001F3AB4" w:rsidP="00257F83">
      <w:pPr>
        <w:pStyle w:val="BodyText"/>
        <w:keepNext/>
        <w:keepLines/>
        <w:widowControl w:val="0"/>
        <w:rPr>
          <w:rFonts w:cs="Arial"/>
        </w:rPr>
      </w:pPr>
      <w:r w:rsidRPr="00394A5B">
        <w:rPr>
          <w:rFonts w:cs="Arial"/>
        </w:rPr>
        <w:t xml:space="preserve">GCF is provided to </w:t>
      </w:r>
      <w:r w:rsidR="00331BCC" w:rsidRPr="00394A5B">
        <w:rPr>
          <w:rFonts w:cs="Arial"/>
        </w:rPr>
        <w:t xml:space="preserve">Councils </w:t>
      </w:r>
      <w:r w:rsidRPr="00394A5B">
        <w:rPr>
          <w:rFonts w:cs="Arial"/>
        </w:rPr>
        <w:t>for capital projects on an unhypothecated basis</w:t>
      </w:r>
      <w:r w:rsidR="00885552" w:rsidRPr="00394A5B">
        <w:rPr>
          <w:rFonts w:cs="Arial"/>
        </w:rPr>
        <w:t xml:space="preserve">.  </w:t>
      </w:r>
      <w:r w:rsidR="00394A5B">
        <w:rPr>
          <w:rFonts w:cs="Arial"/>
        </w:rPr>
        <w:t>The </w:t>
      </w:r>
      <w:r w:rsidRPr="00394A5B">
        <w:rPr>
          <w:rFonts w:cs="Arial"/>
        </w:rPr>
        <w:t xml:space="preserve">calculation of </w:t>
      </w:r>
      <w:r w:rsidR="00685827">
        <w:rPr>
          <w:rFonts w:cs="Arial"/>
        </w:rPr>
        <w:t>the </w:t>
      </w:r>
      <w:r w:rsidRPr="00394A5B">
        <w:rPr>
          <w:rFonts w:cs="Arial"/>
        </w:rPr>
        <w:t xml:space="preserve">Housing funding </w:t>
      </w:r>
      <w:r w:rsidR="00F34BA5" w:rsidRPr="00394A5B">
        <w:rPr>
          <w:rFonts w:cs="Arial"/>
        </w:rPr>
        <w:t>is distributed on a formula basis using a variety of indicators such as total repair costs (2008 Living in Wales Survey), private dwelling stock estimates, amount of grants for completed Disabled Facilities Grants (DFGs) and 2001 Census data</w:t>
      </w:r>
      <w:r w:rsidR="00885552" w:rsidRPr="00394A5B">
        <w:rPr>
          <w:rFonts w:cs="Arial"/>
        </w:rPr>
        <w:t>.</w:t>
      </w:r>
    </w:p>
    <w:p w14:paraId="27C8B4E5" w14:textId="77777777" w:rsidR="00664DC6" w:rsidRPr="00394A5B" w:rsidRDefault="00664DC6" w:rsidP="00257F83">
      <w:pPr>
        <w:keepNext/>
        <w:keepLines/>
        <w:widowControl w:val="0"/>
        <w:numPr>
          <w:ilvl w:val="0"/>
          <w:numId w:val="27"/>
        </w:numPr>
        <w:spacing w:after="60"/>
        <w:ind w:left="567" w:hanging="567"/>
        <w:rPr>
          <w:rFonts w:cs="Arial"/>
        </w:rPr>
      </w:pPr>
      <w:r w:rsidRPr="00394A5B">
        <w:rPr>
          <w:rFonts w:cs="Arial"/>
          <w:i/>
        </w:rPr>
        <w:t>Planning applications received</w:t>
      </w:r>
      <w:r w:rsidRPr="00394A5B">
        <w:rPr>
          <w:rFonts w:cs="Arial"/>
        </w:rPr>
        <w:t xml:space="preserve"> </w:t>
      </w:r>
    </w:p>
    <w:p w14:paraId="59D06DFC" w14:textId="3F7D3E1C" w:rsidR="00664DC6" w:rsidRPr="00394A5B" w:rsidRDefault="00394A5B" w:rsidP="003D4E26">
      <w:pPr>
        <w:pStyle w:val="BodyText"/>
        <w:widowControl w:val="0"/>
        <w:rPr>
          <w:rFonts w:cs="Arial"/>
        </w:rPr>
      </w:pPr>
      <w:r>
        <w:rPr>
          <w:rFonts w:cs="Arial"/>
        </w:rPr>
        <w:t>The </w:t>
      </w:r>
      <w:r w:rsidR="00664DC6" w:rsidRPr="00394A5B">
        <w:rPr>
          <w:rFonts w:cs="Arial"/>
        </w:rPr>
        <w:t>number of planning applications received during each financial year averaged ov</w:t>
      </w:r>
      <w:r w:rsidR="008A6B21" w:rsidRPr="00394A5B">
        <w:rPr>
          <w:rFonts w:cs="Arial"/>
        </w:rPr>
        <w:t xml:space="preserve">er </w:t>
      </w:r>
      <w:r w:rsidR="00685827">
        <w:rPr>
          <w:rFonts w:cs="Arial"/>
        </w:rPr>
        <w:t>the </w:t>
      </w:r>
      <w:r w:rsidR="008A6B21" w:rsidRPr="00394A5B">
        <w:rPr>
          <w:rFonts w:cs="Arial"/>
        </w:rPr>
        <w:t>three financial years up to</w:t>
      </w:r>
      <w:r w:rsidR="00664DC6" w:rsidRPr="00394A5B">
        <w:rPr>
          <w:rFonts w:cs="Arial"/>
        </w:rPr>
        <w:t xml:space="preserve"> and including that ending in </w:t>
      </w:r>
      <w:r w:rsidR="00685827">
        <w:rPr>
          <w:rFonts w:cs="Arial"/>
        </w:rPr>
        <w:t>the </w:t>
      </w:r>
      <w:r w:rsidR="00664DC6" w:rsidRPr="00394A5B">
        <w:rPr>
          <w:rFonts w:cs="Arial"/>
        </w:rPr>
        <w:t xml:space="preserve">data year (as reported by </w:t>
      </w:r>
      <w:r w:rsidR="00331BCC" w:rsidRPr="00394A5B">
        <w:rPr>
          <w:rFonts w:cs="Arial"/>
        </w:rPr>
        <w:t>C</w:t>
      </w:r>
      <w:r w:rsidR="00664DC6" w:rsidRPr="00394A5B">
        <w:rPr>
          <w:rFonts w:cs="Arial"/>
        </w:rPr>
        <w:t xml:space="preserve">ouncils as part of </w:t>
      </w:r>
      <w:r w:rsidR="00685827">
        <w:rPr>
          <w:rFonts w:cs="Arial"/>
        </w:rPr>
        <w:t>the </w:t>
      </w:r>
      <w:r w:rsidR="00E31AF0" w:rsidRPr="00394A5B">
        <w:rPr>
          <w:rFonts w:cs="Arial"/>
        </w:rPr>
        <w:t>Welsh Government</w:t>
      </w:r>
      <w:r w:rsidR="00664DC6" w:rsidRPr="00394A5B">
        <w:rPr>
          <w:rFonts w:cs="Arial"/>
        </w:rPr>
        <w:t xml:space="preserve"> Development Control Quarterly Survey).</w:t>
      </w:r>
    </w:p>
    <w:p w14:paraId="3BD95860" w14:textId="77777777" w:rsidR="00664DC6" w:rsidRPr="00394A5B" w:rsidRDefault="00664DC6" w:rsidP="00257F83">
      <w:pPr>
        <w:keepNext/>
        <w:keepLines/>
        <w:widowControl w:val="0"/>
        <w:numPr>
          <w:ilvl w:val="0"/>
          <w:numId w:val="27"/>
        </w:numPr>
        <w:spacing w:after="60"/>
        <w:ind w:left="567" w:hanging="567"/>
        <w:rPr>
          <w:rFonts w:cs="Arial"/>
        </w:rPr>
      </w:pPr>
      <w:r w:rsidRPr="00394A5B">
        <w:rPr>
          <w:rFonts w:cs="Arial"/>
          <w:i/>
        </w:rPr>
        <w:t>Urban road length</w:t>
      </w:r>
    </w:p>
    <w:p w14:paraId="1C201D57" w14:textId="144063EE" w:rsidR="00664DC6" w:rsidRPr="00394A5B" w:rsidRDefault="00394A5B" w:rsidP="003D4E26">
      <w:pPr>
        <w:pStyle w:val="BodyText"/>
        <w:widowControl w:val="0"/>
        <w:rPr>
          <w:rFonts w:cs="Arial"/>
        </w:rPr>
      </w:pPr>
      <w:r>
        <w:rPr>
          <w:rFonts w:cs="Arial"/>
        </w:rPr>
        <w:t>The </w:t>
      </w:r>
      <w:r w:rsidR="00664DC6" w:rsidRPr="00394A5B">
        <w:rPr>
          <w:rFonts w:cs="Arial"/>
        </w:rPr>
        <w:t xml:space="preserve">total length in kilometres at </w:t>
      </w:r>
      <w:r w:rsidR="002733CE" w:rsidRPr="00394A5B">
        <w:rPr>
          <w:rFonts w:cs="Arial"/>
        </w:rPr>
        <w:t>31</w:t>
      </w:r>
      <w:r w:rsidR="00664DC6" w:rsidRPr="00394A5B">
        <w:rPr>
          <w:rFonts w:cs="Arial"/>
        </w:rPr>
        <w:t xml:space="preserve"> </w:t>
      </w:r>
      <w:r w:rsidR="002733CE" w:rsidRPr="00394A5B">
        <w:rPr>
          <w:rFonts w:cs="Arial"/>
        </w:rPr>
        <w:t>March</w:t>
      </w:r>
      <w:r w:rsidR="00664DC6" w:rsidRPr="00394A5B">
        <w:rPr>
          <w:rFonts w:cs="Arial"/>
        </w:rPr>
        <w:t xml:space="preserve"> of </w:t>
      </w:r>
      <w:r w:rsidR="00685827">
        <w:rPr>
          <w:rFonts w:cs="Arial"/>
        </w:rPr>
        <w:t>the </w:t>
      </w:r>
      <w:r w:rsidR="00664DC6" w:rsidRPr="00394A5B">
        <w:rPr>
          <w:rFonts w:cs="Arial"/>
        </w:rPr>
        <w:t xml:space="preserve">data year of those roads within </w:t>
      </w:r>
      <w:r w:rsidR="00685827">
        <w:rPr>
          <w:rFonts w:cs="Arial"/>
        </w:rPr>
        <w:t>the </w:t>
      </w:r>
      <w:r w:rsidR="00331BCC" w:rsidRPr="00394A5B">
        <w:rPr>
          <w:rFonts w:cs="Arial"/>
        </w:rPr>
        <w:t>C</w:t>
      </w:r>
      <w:r w:rsidR="00664DC6" w:rsidRPr="00394A5B">
        <w:rPr>
          <w:rFonts w:cs="Arial"/>
        </w:rPr>
        <w:t xml:space="preserve">ouncil’s area, excluding trunk roads, subject to a speed limit not exceeding 40 miles per hour (as derived from estimates reported by </w:t>
      </w:r>
      <w:r w:rsidR="00331BCC" w:rsidRPr="00394A5B">
        <w:rPr>
          <w:rFonts w:cs="Arial"/>
        </w:rPr>
        <w:t>C</w:t>
      </w:r>
      <w:r w:rsidR="00664DC6" w:rsidRPr="00394A5B">
        <w:rPr>
          <w:rFonts w:cs="Arial"/>
        </w:rPr>
        <w:t>ouncils on form TP1).</w:t>
      </w:r>
    </w:p>
    <w:p w14:paraId="33C0FDAC" w14:textId="77777777" w:rsidR="00664DC6" w:rsidRPr="00394A5B" w:rsidRDefault="00E624DC" w:rsidP="00257F83">
      <w:pPr>
        <w:keepNext/>
        <w:keepLines/>
        <w:numPr>
          <w:ilvl w:val="0"/>
          <w:numId w:val="27"/>
        </w:numPr>
        <w:spacing w:after="60"/>
        <w:ind w:left="567" w:hanging="567"/>
        <w:rPr>
          <w:rFonts w:cs="Arial"/>
        </w:rPr>
      </w:pPr>
      <w:r w:rsidRPr="00394A5B">
        <w:rPr>
          <w:rFonts w:cs="Arial"/>
          <w:i/>
        </w:rPr>
        <w:t>W</w:t>
      </w:r>
      <w:r w:rsidR="00664DC6" w:rsidRPr="00394A5B">
        <w:rPr>
          <w:rFonts w:cs="Arial"/>
          <w:i/>
        </w:rPr>
        <w:t>eighted road length</w:t>
      </w:r>
    </w:p>
    <w:p w14:paraId="0DD07BEA" w14:textId="66AEA86A" w:rsidR="00664DC6" w:rsidRPr="00394A5B" w:rsidRDefault="00394A5B" w:rsidP="00257F83">
      <w:pPr>
        <w:rPr>
          <w:rFonts w:cs="Arial"/>
        </w:rPr>
      </w:pPr>
      <w:r>
        <w:rPr>
          <w:rFonts w:cs="Arial"/>
        </w:rPr>
        <w:t>The </w:t>
      </w:r>
      <w:r w:rsidR="00664DC6" w:rsidRPr="00394A5B">
        <w:rPr>
          <w:rFonts w:cs="Arial"/>
        </w:rPr>
        <w:t xml:space="preserve">total length in kilometres at </w:t>
      </w:r>
      <w:r w:rsidR="002733CE" w:rsidRPr="00394A5B">
        <w:rPr>
          <w:rFonts w:cs="Arial"/>
        </w:rPr>
        <w:t>31 March</w:t>
      </w:r>
      <w:r w:rsidR="00664DC6" w:rsidRPr="00394A5B">
        <w:rPr>
          <w:rFonts w:cs="Arial"/>
        </w:rPr>
        <w:t xml:space="preserve"> of </w:t>
      </w:r>
      <w:r w:rsidR="00685827">
        <w:rPr>
          <w:rFonts w:cs="Arial"/>
        </w:rPr>
        <w:t>the </w:t>
      </w:r>
      <w:r w:rsidR="00664DC6" w:rsidRPr="00394A5B">
        <w:rPr>
          <w:rFonts w:cs="Arial"/>
        </w:rPr>
        <w:t xml:space="preserve">data year, of those roads within </w:t>
      </w:r>
      <w:r w:rsidR="00685827">
        <w:rPr>
          <w:rFonts w:cs="Arial"/>
        </w:rPr>
        <w:t>the </w:t>
      </w:r>
      <w:r w:rsidR="00331BCC" w:rsidRPr="00394A5B">
        <w:rPr>
          <w:rFonts w:cs="Arial"/>
        </w:rPr>
        <w:t>C</w:t>
      </w:r>
      <w:r w:rsidR="00664DC6" w:rsidRPr="00394A5B">
        <w:rPr>
          <w:rFonts w:cs="Arial"/>
        </w:rPr>
        <w:t xml:space="preserve">ouncil’s area, excluding trunk roads, with weightings of 3.2 for principal roads and 1.0 for all other local roads (as derived from estimates reported by </w:t>
      </w:r>
      <w:r w:rsidR="00331BCC" w:rsidRPr="00394A5B">
        <w:rPr>
          <w:rFonts w:cs="Arial"/>
        </w:rPr>
        <w:t>C</w:t>
      </w:r>
      <w:r w:rsidR="00664DC6" w:rsidRPr="00394A5B">
        <w:rPr>
          <w:rFonts w:cs="Arial"/>
        </w:rPr>
        <w:t>ouncils on form TP1).</w:t>
      </w:r>
    </w:p>
    <w:p w14:paraId="1CA39B9E" w14:textId="77777777" w:rsidR="00664DC6" w:rsidRPr="00394A5B" w:rsidRDefault="00664DC6" w:rsidP="00257F83">
      <w:pPr>
        <w:keepNext/>
        <w:keepLines/>
        <w:widowControl w:val="0"/>
        <w:numPr>
          <w:ilvl w:val="0"/>
          <w:numId w:val="27"/>
        </w:numPr>
        <w:spacing w:after="60"/>
        <w:ind w:left="567" w:hanging="567"/>
        <w:rPr>
          <w:rFonts w:cs="Arial"/>
        </w:rPr>
      </w:pPr>
      <w:r w:rsidRPr="00394A5B">
        <w:rPr>
          <w:rFonts w:cs="Arial"/>
          <w:i/>
        </w:rPr>
        <w:t>Traffic flow</w:t>
      </w:r>
    </w:p>
    <w:p w14:paraId="4B95ADED" w14:textId="16750787" w:rsidR="005461B8" w:rsidRPr="00394A5B" w:rsidRDefault="00394A5B" w:rsidP="00257F83">
      <w:pPr>
        <w:pStyle w:val="BodyText"/>
        <w:widowControl w:val="0"/>
        <w:rPr>
          <w:rFonts w:cs="Arial"/>
        </w:rPr>
      </w:pPr>
      <w:r>
        <w:rPr>
          <w:rFonts w:cs="Arial"/>
        </w:rPr>
        <w:t>The </w:t>
      </w:r>
      <w:r w:rsidR="00F5651E" w:rsidRPr="00394A5B">
        <w:rPr>
          <w:rFonts w:cs="Arial"/>
        </w:rPr>
        <w:t>‘</w:t>
      </w:r>
      <w:r w:rsidR="008A6B21" w:rsidRPr="00394A5B">
        <w:rPr>
          <w:rFonts w:cs="Arial"/>
        </w:rPr>
        <w:t>annual traffic flow</w:t>
      </w:r>
      <w:r w:rsidR="00F5651E" w:rsidRPr="00394A5B">
        <w:rPr>
          <w:rFonts w:cs="Arial"/>
        </w:rPr>
        <w:t xml:space="preserve">’ </w:t>
      </w:r>
      <w:r w:rsidR="00664DC6" w:rsidRPr="00394A5B">
        <w:rPr>
          <w:rFonts w:cs="Arial"/>
        </w:rPr>
        <w:t>in vehicle kilometres</w:t>
      </w:r>
      <w:r w:rsidR="008A6B21" w:rsidRPr="00394A5B">
        <w:rPr>
          <w:rFonts w:cs="Arial"/>
        </w:rPr>
        <w:t xml:space="preserve"> </w:t>
      </w:r>
      <w:r w:rsidR="00F5651E" w:rsidRPr="00394A5B">
        <w:rPr>
          <w:rFonts w:cs="Arial"/>
        </w:rPr>
        <w:t xml:space="preserve">for </w:t>
      </w:r>
      <w:r w:rsidR="00685827">
        <w:rPr>
          <w:rFonts w:cs="Arial"/>
        </w:rPr>
        <w:t>the </w:t>
      </w:r>
      <w:r w:rsidR="00F5651E" w:rsidRPr="00394A5B">
        <w:rPr>
          <w:rFonts w:cs="Arial"/>
        </w:rPr>
        <w:t xml:space="preserve">data year </w:t>
      </w:r>
      <w:r w:rsidR="008A6B21" w:rsidRPr="00394A5B">
        <w:rPr>
          <w:rFonts w:cs="Arial"/>
        </w:rPr>
        <w:t xml:space="preserve">on principal roads within </w:t>
      </w:r>
      <w:r w:rsidR="00685827">
        <w:rPr>
          <w:rFonts w:cs="Arial"/>
        </w:rPr>
        <w:t>the </w:t>
      </w:r>
      <w:r w:rsidR="00331BCC" w:rsidRPr="00394A5B">
        <w:rPr>
          <w:rFonts w:cs="Arial"/>
        </w:rPr>
        <w:t>C</w:t>
      </w:r>
      <w:r w:rsidR="008A6B21" w:rsidRPr="00394A5B">
        <w:rPr>
          <w:rFonts w:cs="Arial"/>
        </w:rPr>
        <w:t>ouncil’s area</w:t>
      </w:r>
      <w:r w:rsidR="00F5651E" w:rsidRPr="00394A5B">
        <w:rPr>
          <w:rFonts w:cs="Arial"/>
        </w:rPr>
        <w:t xml:space="preserve"> </w:t>
      </w:r>
      <w:r w:rsidR="008A6B21" w:rsidRPr="00394A5B">
        <w:rPr>
          <w:rFonts w:cs="Arial"/>
        </w:rPr>
        <w:t xml:space="preserve">(as derived </w:t>
      </w:r>
      <w:r w:rsidR="00664DC6" w:rsidRPr="00394A5B">
        <w:rPr>
          <w:rFonts w:cs="Arial"/>
        </w:rPr>
        <w:t xml:space="preserve">from estimates from </w:t>
      </w:r>
      <w:r w:rsidR="00685827">
        <w:rPr>
          <w:rFonts w:cs="Arial"/>
        </w:rPr>
        <w:t>the </w:t>
      </w:r>
      <w:r w:rsidR="00664DC6" w:rsidRPr="00394A5B">
        <w:rPr>
          <w:rFonts w:cs="Arial"/>
        </w:rPr>
        <w:t>National Road Traffic Survey, Depar</w:t>
      </w:r>
      <w:r w:rsidR="008A6B21" w:rsidRPr="00394A5B">
        <w:rPr>
          <w:rFonts w:cs="Arial"/>
        </w:rPr>
        <w:t>tment of Transport)</w:t>
      </w:r>
      <w:r w:rsidR="00664DC6" w:rsidRPr="00394A5B">
        <w:rPr>
          <w:rFonts w:cs="Arial"/>
        </w:rPr>
        <w:t>.</w:t>
      </w:r>
    </w:p>
    <w:p w14:paraId="162D4298" w14:textId="77777777" w:rsidR="00664DC6" w:rsidRPr="00394A5B" w:rsidRDefault="00664DC6" w:rsidP="00257F83">
      <w:pPr>
        <w:pStyle w:val="BodyText"/>
        <w:keepNext/>
        <w:keepLines/>
        <w:widowControl w:val="0"/>
        <w:numPr>
          <w:ilvl w:val="0"/>
          <w:numId w:val="27"/>
        </w:numPr>
        <w:spacing w:after="60"/>
        <w:ind w:left="567" w:hanging="567"/>
        <w:rPr>
          <w:rFonts w:cs="Arial"/>
        </w:rPr>
      </w:pPr>
      <w:r w:rsidRPr="00394A5B">
        <w:rPr>
          <w:rFonts w:cs="Arial"/>
          <w:i/>
        </w:rPr>
        <w:t>Street lighting units</w:t>
      </w:r>
    </w:p>
    <w:p w14:paraId="616085B4" w14:textId="13BEA351" w:rsidR="00664DC6" w:rsidRPr="00394A5B" w:rsidRDefault="00394A5B" w:rsidP="003D4E26">
      <w:pPr>
        <w:widowControl w:val="0"/>
        <w:rPr>
          <w:rFonts w:cs="Arial"/>
        </w:rPr>
      </w:pPr>
      <w:r>
        <w:rPr>
          <w:rFonts w:cs="Arial"/>
        </w:rPr>
        <w:t>The </w:t>
      </w:r>
      <w:r w:rsidR="00664DC6" w:rsidRPr="00394A5B">
        <w:rPr>
          <w:rFonts w:cs="Arial"/>
        </w:rPr>
        <w:t>number of street lighting units</w:t>
      </w:r>
      <w:r w:rsidR="00E624DC" w:rsidRPr="00394A5B">
        <w:rPr>
          <w:rFonts w:cs="Arial"/>
        </w:rPr>
        <w:t xml:space="preserve"> reported</w:t>
      </w:r>
      <w:r w:rsidR="00664DC6" w:rsidRPr="00394A5B">
        <w:rPr>
          <w:rFonts w:cs="Arial"/>
        </w:rPr>
        <w:t xml:space="preserve"> </w:t>
      </w:r>
      <w:r w:rsidR="00043621" w:rsidRPr="00394A5B">
        <w:rPr>
          <w:rFonts w:cs="Arial"/>
        </w:rPr>
        <w:t xml:space="preserve">within </w:t>
      </w:r>
      <w:r w:rsidR="00685827">
        <w:rPr>
          <w:rFonts w:cs="Arial"/>
        </w:rPr>
        <w:t>the </w:t>
      </w:r>
      <w:r w:rsidR="00331BCC" w:rsidRPr="00394A5B">
        <w:rPr>
          <w:rFonts w:cs="Arial"/>
        </w:rPr>
        <w:t>C</w:t>
      </w:r>
      <w:r w:rsidR="00043621" w:rsidRPr="00394A5B">
        <w:rPr>
          <w:rFonts w:cs="Arial"/>
        </w:rPr>
        <w:t>ouncil</w:t>
      </w:r>
      <w:r w:rsidR="00CA7B71" w:rsidRPr="00394A5B">
        <w:rPr>
          <w:rFonts w:cs="Arial"/>
        </w:rPr>
        <w:t xml:space="preserve"> area at</w:t>
      </w:r>
      <w:r w:rsidR="002E5199" w:rsidRPr="00394A5B">
        <w:rPr>
          <w:rFonts w:cs="Arial"/>
        </w:rPr>
        <w:t xml:space="preserve"> </w:t>
      </w:r>
      <w:r w:rsidR="00A41C6F" w:rsidRPr="00394A5B">
        <w:rPr>
          <w:rFonts w:cs="Arial"/>
        </w:rPr>
        <w:t>1</w:t>
      </w:r>
      <w:r w:rsidR="00566E2B" w:rsidRPr="00394A5B">
        <w:rPr>
          <w:rFonts w:cs="Arial"/>
        </w:rPr>
        <w:t xml:space="preserve"> April of </w:t>
      </w:r>
      <w:r w:rsidR="00685827">
        <w:rPr>
          <w:rFonts w:cs="Arial"/>
        </w:rPr>
        <w:t>the </w:t>
      </w:r>
      <w:r w:rsidR="00566E2B" w:rsidRPr="00394A5B">
        <w:rPr>
          <w:rFonts w:cs="Arial"/>
        </w:rPr>
        <w:t xml:space="preserve">data year </w:t>
      </w:r>
      <w:r w:rsidR="00664DC6" w:rsidRPr="00394A5B">
        <w:rPr>
          <w:rFonts w:cs="Arial"/>
        </w:rPr>
        <w:t xml:space="preserve">(as reported by </w:t>
      </w:r>
      <w:r w:rsidR="00331BCC" w:rsidRPr="00394A5B">
        <w:rPr>
          <w:rFonts w:cs="Arial"/>
        </w:rPr>
        <w:t>C</w:t>
      </w:r>
      <w:r w:rsidR="00664DC6" w:rsidRPr="00394A5B">
        <w:rPr>
          <w:rFonts w:cs="Arial"/>
        </w:rPr>
        <w:t xml:space="preserve">ouncils to </w:t>
      </w:r>
      <w:r w:rsidR="00685827">
        <w:rPr>
          <w:rFonts w:cs="Arial"/>
        </w:rPr>
        <w:t>the </w:t>
      </w:r>
      <w:r w:rsidR="00CF4881" w:rsidRPr="00394A5B">
        <w:rPr>
          <w:rFonts w:cs="Arial"/>
        </w:rPr>
        <w:t>Welsh Government</w:t>
      </w:r>
      <w:r w:rsidR="00664DC6" w:rsidRPr="00394A5B">
        <w:rPr>
          <w:rFonts w:cs="Arial"/>
        </w:rPr>
        <w:t>).</w:t>
      </w:r>
    </w:p>
    <w:p w14:paraId="53F57BD0" w14:textId="77777777" w:rsidR="00664DC6" w:rsidRPr="00394A5B" w:rsidRDefault="00664DC6" w:rsidP="00257F83">
      <w:pPr>
        <w:keepNext/>
        <w:keepLines/>
        <w:widowControl w:val="0"/>
        <w:numPr>
          <w:ilvl w:val="0"/>
          <w:numId w:val="27"/>
        </w:numPr>
        <w:spacing w:after="60"/>
        <w:ind w:left="567" w:hanging="567"/>
        <w:rPr>
          <w:rFonts w:cs="Arial"/>
        </w:rPr>
      </w:pPr>
      <w:r w:rsidRPr="00394A5B">
        <w:rPr>
          <w:rFonts w:cs="Arial"/>
          <w:i/>
        </w:rPr>
        <w:t>Length of artificially protected coastline</w:t>
      </w:r>
    </w:p>
    <w:p w14:paraId="0B9BB11C" w14:textId="02F5FBB2" w:rsidR="00664DC6" w:rsidRPr="00394A5B" w:rsidRDefault="00664DC6" w:rsidP="003D4E26">
      <w:pPr>
        <w:pStyle w:val="BodyText"/>
        <w:widowControl w:val="0"/>
        <w:rPr>
          <w:rFonts w:cs="Arial"/>
        </w:rPr>
      </w:pPr>
      <w:r w:rsidRPr="00394A5B">
        <w:rPr>
          <w:rFonts w:cs="Arial"/>
        </w:rPr>
        <w:t xml:space="preserve">This is defined as </w:t>
      </w:r>
      <w:r w:rsidR="00685827">
        <w:rPr>
          <w:rFonts w:cs="Arial"/>
        </w:rPr>
        <w:t>the </w:t>
      </w:r>
      <w:r w:rsidRPr="00394A5B">
        <w:rPr>
          <w:rFonts w:cs="Arial"/>
        </w:rPr>
        <w:t xml:space="preserve">aggregate of </w:t>
      </w:r>
      <w:r w:rsidR="00685827">
        <w:rPr>
          <w:rFonts w:cs="Arial"/>
        </w:rPr>
        <w:t>the </w:t>
      </w:r>
      <w:r w:rsidRPr="00394A5B">
        <w:rPr>
          <w:rFonts w:cs="Arial"/>
        </w:rPr>
        <w:t xml:space="preserve">lengths in kilometres of coastline </w:t>
      </w:r>
      <w:r w:rsidR="00E31F3C" w:rsidRPr="00394A5B">
        <w:rPr>
          <w:rFonts w:cs="Arial"/>
        </w:rPr>
        <w:t>at 1 April</w:t>
      </w:r>
      <w:r w:rsidRPr="00394A5B">
        <w:rPr>
          <w:rFonts w:cs="Arial"/>
        </w:rPr>
        <w:t xml:space="preserve"> of </w:t>
      </w:r>
      <w:r w:rsidR="00685827">
        <w:rPr>
          <w:rFonts w:cs="Arial"/>
        </w:rPr>
        <w:t>the </w:t>
      </w:r>
      <w:r w:rsidRPr="00394A5B">
        <w:rPr>
          <w:rFonts w:cs="Arial"/>
        </w:rPr>
        <w:t xml:space="preserve">data year where capital works have been carried out under </w:t>
      </w:r>
      <w:r w:rsidR="00685827">
        <w:rPr>
          <w:rFonts w:cs="Arial"/>
        </w:rPr>
        <w:t>the </w:t>
      </w:r>
      <w:r w:rsidRPr="00394A5B">
        <w:rPr>
          <w:rFonts w:cs="Arial"/>
        </w:rPr>
        <w:t xml:space="preserve">Coast Protection Act 1949 or any earlier similar legislation, exclusive of those lengths owned and maintained by private interests or by public bodies other than </w:t>
      </w:r>
      <w:r w:rsidR="002C1209" w:rsidRPr="00394A5B">
        <w:rPr>
          <w:rFonts w:cs="Arial"/>
        </w:rPr>
        <w:t>C</w:t>
      </w:r>
      <w:r w:rsidRPr="00394A5B">
        <w:rPr>
          <w:rFonts w:cs="Arial"/>
        </w:rPr>
        <w:t>ouncils.</w:t>
      </w:r>
    </w:p>
    <w:p w14:paraId="0F04098F" w14:textId="77777777" w:rsidR="00664DC6" w:rsidRPr="00394A5B" w:rsidRDefault="00664DC6" w:rsidP="00257F83">
      <w:pPr>
        <w:keepNext/>
        <w:keepLines/>
        <w:numPr>
          <w:ilvl w:val="0"/>
          <w:numId w:val="27"/>
        </w:numPr>
        <w:spacing w:after="60"/>
        <w:ind w:left="567" w:hanging="567"/>
        <w:rPr>
          <w:rFonts w:cs="Arial"/>
        </w:rPr>
      </w:pPr>
      <w:r w:rsidRPr="00394A5B">
        <w:rPr>
          <w:rFonts w:cs="Arial"/>
          <w:i/>
        </w:rPr>
        <w:t>Ships arriving at ports</w:t>
      </w:r>
      <w:r w:rsidRPr="00394A5B">
        <w:rPr>
          <w:rFonts w:cs="Arial"/>
        </w:rPr>
        <w:t xml:space="preserve"> </w:t>
      </w:r>
    </w:p>
    <w:p w14:paraId="28EF70C4" w14:textId="67851100" w:rsidR="00664DC6" w:rsidRPr="00394A5B" w:rsidRDefault="00394A5B" w:rsidP="003D4E26">
      <w:pPr>
        <w:pStyle w:val="BodyText"/>
        <w:widowControl w:val="0"/>
        <w:rPr>
          <w:rFonts w:cs="Arial"/>
        </w:rPr>
      </w:pPr>
      <w:r>
        <w:rPr>
          <w:rFonts w:cs="Arial"/>
        </w:rPr>
        <w:t>The </w:t>
      </w:r>
      <w:r w:rsidR="00664DC6" w:rsidRPr="00394A5B">
        <w:rPr>
          <w:rFonts w:cs="Arial"/>
        </w:rPr>
        <w:t xml:space="preserve">estimated number of ships arriving at ports in </w:t>
      </w:r>
      <w:r w:rsidR="00685827">
        <w:rPr>
          <w:rFonts w:cs="Arial"/>
        </w:rPr>
        <w:t>the </w:t>
      </w:r>
      <w:r w:rsidR="002C1209" w:rsidRPr="00394A5B">
        <w:rPr>
          <w:rFonts w:cs="Arial"/>
        </w:rPr>
        <w:t>C</w:t>
      </w:r>
      <w:r w:rsidR="00664DC6" w:rsidRPr="00394A5B">
        <w:rPr>
          <w:rFonts w:cs="Arial"/>
        </w:rPr>
        <w:t xml:space="preserve">ouncil area in </w:t>
      </w:r>
      <w:r w:rsidR="00685827">
        <w:rPr>
          <w:rFonts w:cs="Arial"/>
        </w:rPr>
        <w:t>the </w:t>
      </w:r>
      <w:r w:rsidR="00664DC6" w:rsidRPr="00394A5B">
        <w:rPr>
          <w:rFonts w:cs="Arial"/>
        </w:rPr>
        <w:t>data year, excluding vessels employed in supply, dredging or dumping at sea (Department for Transport).</w:t>
      </w:r>
    </w:p>
    <w:p w14:paraId="36B2865E" w14:textId="77777777" w:rsidR="00664DC6" w:rsidRPr="00394A5B" w:rsidRDefault="00664DC6" w:rsidP="00257F83">
      <w:pPr>
        <w:keepNext/>
        <w:keepLines/>
        <w:widowControl w:val="0"/>
        <w:numPr>
          <w:ilvl w:val="0"/>
          <w:numId w:val="27"/>
        </w:numPr>
        <w:spacing w:after="60"/>
        <w:ind w:left="567" w:hanging="567"/>
        <w:rPr>
          <w:rFonts w:cs="Arial"/>
        </w:rPr>
      </w:pPr>
      <w:r w:rsidRPr="00394A5B">
        <w:rPr>
          <w:rFonts w:cs="Arial"/>
          <w:i/>
        </w:rPr>
        <w:t>Dwellings</w:t>
      </w:r>
      <w:r w:rsidRPr="00394A5B">
        <w:rPr>
          <w:rFonts w:cs="Arial"/>
        </w:rPr>
        <w:t xml:space="preserve"> </w:t>
      </w:r>
    </w:p>
    <w:p w14:paraId="79D99FB5" w14:textId="100BBE9E" w:rsidR="00664DC6" w:rsidRPr="00394A5B" w:rsidRDefault="00394A5B" w:rsidP="003D4E26">
      <w:pPr>
        <w:pStyle w:val="BodyText"/>
        <w:widowControl w:val="0"/>
        <w:rPr>
          <w:rFonts w:cs="Arial"/>
        </w:rPr>
      </w:pPr>
      <w:r>
        <w:rPr>
          <w:rFonts w:cs="Arial"/>
        </w:rPr>
        <w:t>The </w:t>
      </w:r>
      <w:r w:rsidR="00664DC6" w:rsidRPr="00394A5B">
        <w:rPr>
          <w:rFonts w:cs="Arial"/>
        </w:rPr>
        <w:t>n</w:t>
      </w:r>
      <w:r w:rsidR="00A30DAC" w:rsidRPr="00394A5B">
        <w:rPr>
          <w:rFonts w:cs="Arial"/>
        </w:rPr>
        <w:t>umber of domestic hereditaments</w:t>
      </w:r>
      <w:r w:rsidR="00EE6A96" w:rsidRPr="00394A5B">
        <w:rPr>
          <w:rFonts w:cs="Arial"/>
        </w:rPr>
        <w:t xml:space="preserve"> </w:t>
      </w:r>
      <w:r w:rsidR="00664DC6" w:rsidRPr="00394A5B">
        <w:rPr>
          <w:rFonts w:cs="Arial"/>
        </w:rPr>
        <w:t xml:space="preserve">as at </w:t>
      </w:r>
      <w:r w:rsidR="00D259BC" w:rsidRPr="00394A5B">
        <w:rPr>
          <w:rFonts w:cs="Arial"/>
        </w:rPr>
        <w:t xml:space="preserve">31 </w:t>
      </w:r>
      <w:r w:rsidR="008A2A44" w:rsidRPr="00394A5B">
        <w:rPr>
          <w:rFonts w:cs="Arial"/>
        </w:rPr>
        <w:t>March</w:t>
      </w:r>
      <w:r w:rsidR="00664DC6" w:rsidRPr="00394A5B">
        <w:rPr>
          <w:rFonts w:cs="Arial"/>
        </w:rPr>
        <w:t xml:space="preserve"> of </w:t>
      </w:r>
      <w:r w:rsidR="00685827">
        <w:rPr>
          <w:rFonts w:cs="Arial"/>
        </w:rPr>
        <w:t>the </w:t>
      </w:r>
      <w:r w:rsidR="00664DC6" w:rsidRPr="00394A5B">
        <w:rPr>
          <w:rFonts w:cs="Arial"/>
        </w:rPr>
        <w:t>data year (Valuation Office Agency).</w:t>
      </w:r>
    </w:p>
    <w:p w14:paraId="646BE514" w14:textId="77777777" w:rsidR="00664DC6" w:rsidRPr="00394A5B" w:rsidRDefault="00664DC6" w:rsidP="00257F83">
      <w:pPr>
        <w:keepNext/>
        <w:keepLines/>
        <w:widowControl w:val="0"/>
        <w:numPr>
          <w:ilvl w:val="0"/>
          <w:numId w:val="27"/>
        </w:numPr>
        <w:spacing w:after="60"/>
        <w:ind w:left="567" w:hanging="567"/>
        <w:rPr>
          <w:rFonts w:cs="Arial"/>
        </w:rPr>
      </w:pPr>
      <w:r w:rsidRPr="00394A5B">
        <w:rPr>
          <w:rFonts w:cs="Arial"/>
          <w:i/>
        </w:rPr>
        <w:t>Food premises</w:t>
      </w:r>
      <w:r w:rsidRPr="00394A5B">
        <w:rPr>
          <w:rFonts w:cs="Arial"/>
        </w:rPr>
        <w:t xml:space="preserve"> </w:t>
      </w:r>
    </w:p>
    <w:p w14:paraId="1A400E14" w14:textId="46CFA60E" w:rsidR="00664DC6" w:rsidRPr="00394A5B" w:rsidRDefault="00394A5B" w:rsidP="003D4E26">
      <w:pPr>
        <w:pStyle w:val="BodyText"/>
        <w:widowControl w:val="0"/>
        <w:rPr>
          <w:rFonts w:cs="Arial"/>
        </w:rPr>
      </w:pPr>
      <w:r>
        <w:rPr>
          <w:rFonts w:cs="Arial"/>
        </w:rPr>
        <w:t>The </w:t>
      </w:r>
      <w:r w:rsidR="00664DC6" w:rsidRPr="00394A5B">
        <w:rPr>
          <w:rFonts w:cs="Arial"/>
        </w:rPr>
        <w:t xml:space="preserve">number of business hereditaments falling within </w:t>
      </w:r>
      <w:r w:rsidR="00685827">
        <w:rPr>
          <w:rFonts w:cs="Arial"/>
        </w:rPr>
        <w:t>the </w:t>
      </w:r>
      <w:r w:rsidR="00664DC6" w:rsidRPr="00394A5B">
        <w:rPr>
          <w:rFonts w:cs="Arial"/>
        </w:rPr>
        <w:t xml:space="preserve">classes Food (as defined by </w:t>
      </w:r>
      <w:r w:rsidR="00685827">
        <w:rPr>
          <w:rFonts w:cs="Arial"/>
        </w:rPr>
        <w:t>the </w:t>
      </w:r>
      <w:r w:rsidR="00A06DC9" w:rsidRPr="00394A5B">
        <w:rPr>
          <w:rFonts w:cs="Arial"/>
        </w:rPr>
        <w:t>Welsh Government</w:t>
      </w:r>
      <w:r w:rsidR="00664DC6" w:rsidRPr="00394A5B">
        <w:rPr>
          <w:rFonts w:cs="Arial"/>
        </w:rPr>
        <w:t xml:space="preserve"> and agreed by D</w:t>
      </w:r>
      <w:r w:rsidR="002C1209" w:rsidRPr="00394A5B">
        <w:rPr>
          <w:rFonts w:cs="Arial"/>
        </w:rPr>
        <w:t xml:space="preserve">istribution </w:t>
      </w:r>
      <w:r w:rsidR="00664DC6" w:rsidRPr="00394A5B">
        <w:rPr>
          <w:rFonts w:cs="Arial"/>
        </w:rPr>
        <w:t>S</w:t>
      </w:r>
      <w:r w:rsidR="002C1209" w:rsidRPr="00394A5B">
        <w:rPr>
          <w:rFonts w:cs="Arial"/>
        </w:rPr>
        <w:t xml:space="preserve">ub </w:t>
      </w:r>
      <w:r w:rsidR="00664DC6" w:rsidRPr="00394A5B">
        <w:rPr>
          <w:rFonts w:cs="Arial"/>
        </w:rPr>
        <w:t>G</w:t>
      </w:r>
      <w:r w:rsidR="002C1209" w:rsidRPr="00394A5B">
        <w:rPr>
          <w:rFonts w:cs="Arial"/>
        </w:rPr>
        <w:t>roup</w:t>
      </w:r>
      <w:r w:rsidR="00664DC6" w:rsidRPr="00394A5B">
        <w:rPr>
          <w:rFonts w:cs="Arial"/>
        </w:rPr>
        <w:t xml:space="preserve"> (2000) </w:t>
      </w:r>
      <w:r w:rsidR="002C1209" w:rsidRPr="00394A5B">
        <w:rPr>
          <w:rFonts w:cs="Arial"/>
        </w:rPr>
        <w:t>(</w:t>
      </w:r>
      <w:r w:rsidR="00664DC6" w:rsidRPr="00394A5B">
        <w:rPr>
          <w:rFonts w:cs="Arial"/>
        </w:rPr>
        <w:t xml:space="preserve">Paper 55) as at </w:t>
      </w:r>
      <w:r w:rsidR="0054170A" w:rsidRPr="00394A5B">
        <w:rPr>
          <w:rFonts w:cs="Arial"/>
        </w:rPr>
        <w:t>31 March</w:t>
      </w:r>
      <w:r w:rsidR="00664DC6" w:rsidRPr="00394A5B">
        <w:rPr>
          <w:rFonts w:cs="Arial"/>
        </w:rPr>
        <w:t xml:space="preserve"> of </w:t>
      </w:r>
      <w:r w:rsidR="00685827">
        <w:rPr>
          <w:rFonts w:cs="Arial"/>
        </w:rPr>
        <w:t>the </w:t>
      </w:r>
      <w:r w:rsidR="00664DC6" w:rsidRPr="00394A5B">
        <w:rPr>
          <w:rFonts w:cs="Arial"/>
        </w:rPr>
        <w:t>data year (</w:t>
      </w:r>
      <w:r w:rsidR="0054170A" w:rsidRPr="00394A5B">
        <w:rPr>
          <w:rFonts w:cs="Arial"/>
        </w:rPr>
        <w:t>Valuation Office Agency</w:t>
      </w:r>
      <w:r w:rsidR="00664DC6" w:rsidRPr="00394A5B">
        <w:rPr>
          <w:rFonts w:cs="Arial"/>
        </w:rPr>
        <w:t>).</w:t>
      </w:r>
    </w:p>
    <w:p w14:paraId="1F4B5748" w14:textId="77777777" w:rsidR="00664DC6" w:rsidRPr="00394A5B" w:rsidRDefault="00664DC6" w:rsidP="00257F83">
      <w:pPr>
        <w:keepNext/>
        <w:keepLines/>
        <w:widowControl w:val="0"/>
        <w:numPr>
          <w:ilvl w:val="0"/>
          <w:numId w:val="27"/>
        </w:numPr>
        <w:spacing w:after="60"/>
        <w:ind w:left="567" w:hanging="567"/>
        <w:rPr>
          <w:rFonts w:cs="Arial"/>
          <w:i/>
        </w:rPr>
      </w:pPr>
      <w:r w:rsidRPr="00394A5B">
        <w:rPr>
          <w:rFonts w:cs="Arial"/>
          <w:i/>
        </w:rPr>
        <w:t xml:space="preserve">Trading premises </w:t>
      </w:r>
    </w:p>
    <w:p w14:paraId="286020E0" w14:textId="5F7CC29D" w:rsidR="00887631" w:rsidRPr="00394A5B" w:rsidRDefault="00394A5B" w:rsidP="003D4E26">
      <w:pPr>
        <w:widowControl w:val="0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>The </w:t>
      </w:r>
      <w:r w:rsidR="00887631" w:rsidRPr="00394A5B">
        <w:rPr>
          <w:rFonts w:cs="Arial"/>
          <w:snapToGrid w:val="0"/>
          <w:szCs w:val="24"/>
        </w:rPr>
        <w:t>number of business hereditaments classified as commercial, industrial</w:t>
      </w:r>
      <w:r w:rsidR="00887631" w:rsidRPr="00394A5B">
        <w:rPr>
          <w:rFonts w:cs="Arial"/>
          <w:szCs w:val="24"/>
        </w:rPr>
        <w:t xml:space="preserve"> and leisure properties as at </w:t>
      </w:r>
      <w:r w:rsidR="0054170A" w:rsidRPr="00394A5B">
        <w:rPr>
          <w:rFonts w:cs="Arial"/>
          <w:szCs w:val="24"/>
        </w:rPr>
        <w:t>31 March</w:t>
      </w:r>
      <w:r w:rsidR="00887631" w:rsidRPr="00394A5B">
        <w:rPr>
          <w:rFonts w:cs="Arial"/>
          <w:szCs w:val="24"/>
        </w:rPr>
        <w:t xml:space="preserve"> of </w:t>
      </w:r>
      <w:r w:rsidR="00685827">
        <w:rPr>
          <w:rFonts w:cs="Arial"/>
          <w:szCs w:val="24"/>
        </w:rPr>
        <w:t>the </w:t>
      </w:r>
      <w:r w:rsidR="00887631" w:rsidRPr="00394A5B">
        <w:rPr>
          <w:rFonts w:cs="Arial"/>
          <w:szCs w:val="24"/>
        </w:rPr>
        <w:t xml:space="preserve">data year </w:t>
      </w:r>
      <w:r w:rsidR="00887631" w:rsidRPr="00394A5B">
        <w:rPr>
          <w:rFonts w:cs="Arial"/>
          <w:snapToGrid w:val="0"/>
          <w:szCs w:val="24"/>
        </w:rPr>
        <w:t>(</w:t>
      </w:r>
      <w:r w:rsidR="0054170A" w:rsidRPr="00394A5B">
        <w:rPr>
          <w:rFonts w:cs="Arial"/>
          <w:szCs w:val="24"/>
        </w:rPr>
        <w:t>Valuation Office Agency</w:t>
      </w:r>
      <w:r w:rsidR="00887631" w:rsidRPr="00394A5B">
        <w:rPr>
          <w:rFonts w:cs="Arial"/>
          <w:snapToGrid w:val="0"/>
          <w:szCs w:val="24"/>
        </w:rPr>
        <w:t>)</w:t>
      </w:r>
      <w:r w:rsidR="00B04652" w:rsidRPr="00394A5B">
        <w:rPr>
          <w:rFonts w:cs="Arial"/>
          <w:snapToGrid w:val="0"/>
          <w:szCs w:val="24"/>
        </w:rPr>
        <w:t xml:space="preserve"> and </w:t>
      </w:r>
      <w:r w:rsidR="00685827">
        <w:rPr>
          <w:rFonts w:cs="Arial"/>
          <w:snapToGrid w:val="0"/>
          <w:szCs w:val="24"/>
        </w:rPr>
        <w:t>the </w:t>
      </w:r>
      <w:r w:rsidR="00B04652" w:rsidRPr="00394A5B">
        <w:rPr>
          <w:rFonts w:cs="Arial"/>
          <w:snapToGrid w:val="0"/>
          <w:szCs w:val="24"/>
        </w:rPr>
        <w:t xml:space="preserve">number of economically active farm holdings as at </w:t>
      </w:r>
      <w:r w:rsidR="00685827">
        <w:rPr>
          <w:rFonts w:cs="Arial"/>
          <w:snapToGrid w:val="0"/>
          <w:szCs w:val="24"/>
        </w:rPr>
        <w:t>the </w:t>
      </w:r>
      <w:r w:rsidR="00B04652" w:rsidRPr="00394A5B">
        <w:rPr>
          <w:rFonts w:cs="Arial"/>
          <w:snapToGrid w:val="0"/>
          <w:szCs w:val="24"/>
        </w:rPr>
        <w:t xml:space="preserve">June prior to </w:t>
      </w:r>
      <w:r w:rsidR="00685827">
        <w:rPr>
          <w:rFonts w:cs="Arial"/>
          <w:snapToGrid w:val="0"/>
          <w:szCs w:val="24"/>
        </w:rPr>
        <w:t>the </w:t>
      </w:r>
      <w:r w:rsidR="00B04652" w:rsidRPr="00394A5B">
        <w:rPr>
          <w:rFonts w:cs="Arial"/>
          <w:snapToGrid w:val="0"/>
          <w:szCs w:val="24"/>
        </w:rPr>
        <w:t>data year</w:t>
      </w:r>
      <w:r w:rsidR="00887631" w:rsidRPr="00394A5B">
        <w:rPr>
          <w:rFonts w:cs="Arial"/>
          <w:snapToGrid w:val="0"/>
          <w:szCs w:val="24"/>
        </w:rPr>
        <w:t>.</w:t>
      </w:r>
    </w:p>
    <w:p w14:paraId="6896FE0A" w14:textId="77777777" w:rsidR="00664DC6" w:rsidRPr="00394A5B" w:rsidRDefault="00664DC6" w:rsidP="00257F83">
      <w:pPr>
        <w:keepNext/>
        <w:keepLines/>
        <w:numPr>
          <w:ilvl w:val="0"/>
          <w:numId w:val="27"/>
        </w:numPr>
        <w:spacing w:after="60"/>
        <w:ind w:left="567" w:hanging="567"/>
        <w:rPr>
          <w:rFonts w:cs="Arial"/>
          <w:i/>
          <w:szCs w:val="24"/>
        </w:rPr>
      </w:pPr>
      <w:r w:rsidRPr="00394A5B">
        <w:rPr>
          <w:rFonts w:cs="Arial"/>
          <w:i/>
          <w:szCs w:val="24"/>
        </w:rPr>
        <w:t>Land drainage levies</w:t>
      </w:r>
    </w:p>
    <w:p w14:paraId="039CBD13" w14:textId="1849BFD1" w:rsidR="00664DC6" w:rsidRPr="00394A5B" w:rsidRDefault="00394A5B" w:rsidP="003D4E26">
      <w:pPr>
        <w:pStyle w:val="BodyText"/>
        <w:widowControl w:val="0"/>
        <w:rPr>
          <w:rFonts w:cs="Arial"/>
        </w:rPr>
      </w:pPr>
      <w:r>
        <w:rPr>
          <w:rFonts w:cs="Arial"/>
        </w:rPr>
        <w:t>The </w:t>
      </w:r>
      <w:r w:rsidR="00664DC6" w:rsidRPr="00394A5B">
        <w:rPr>
          <w:rFonts w:cs="Arial"/>
        </w:rPr>
        <w:t xml:space="preserve">amounts levied on </w:t>
      </w:r>
      <w:r w:rsidR="00685827">
        <w:rPr>
          <w:rFonts w:cs="Arial"/>
        </w:rPr>
        <w:t>the </w:t>
      </w:r>
      <w:r w:rsidR="002C1209" w:rsidRPr="00394A5B">
        <w:rPr>
          <w:rFonts w:cs="Arial"/>
        </w:rPr>
        <w:t>C</w:t>
      </w:r>
      <w:r w:rsidR="00664DC6" w:rsidRPr="00394A5B">
        <w:rPr>
          <w:rFonts w:cs="Arial"/>
        </w:rPr>
        <w:t xml:space="preserve">ouncil by </w:t>
      </w:r>
      <w:r w:rsidR="00685827">
        <w:rPr>
          <w:rFonts w:cs="Arial"/>
        </w:rPr>
        <w:t>the </w:t>
      </w:r>
      <w:r w:rsidR="00664DC6" w:rsidRPr="00394A5B">
        <w:rPr>
          <w:rFonts w:cs="Arial"/>
        </w:rPr>
        <w:t xml:space="preserve">Internal Drainage Boards </w:t>
      </w:r>
      <w:r w:rsidR="002C1209" w:rsidRPr="00394A5B">
        <w:rPr>
          <w:rFonts w:cs="Arial"/>
        </w:rPr>
        <w:t xml:space="preserve">(IDBs) </w:t>
      </w:r>
      <w:r w:rsidR="00664DC6" w:rsidRPr="00394A5B">
        <w:rPr>
          <w:rFonts w:cs="Arial"/>
        </w:rPr>
        <w:t xml:space="preserve">for </w:t>
      </w:r>
      <w:r w:rsidR="00685827">
        <w:rPr>
          <w:rFonts w:cs="Arial"/>
        </w:rPr>
        <w:t>the </w:t>
      </w:r>
      <w:r w:rsidR="00664DC6" w:rsidRPr="00394A5B">
        <w:rPr>
          <w:rFonts w:cs="Arial"/>
        </w:rPr>
        <w:t xml:space="preserve">financial year taken from </w:t>
      </w:r>
      <w:r w:rsidR="00685827">
        <w:rPr>
          <w:rFonts w:cs="Arial"/>
        </w:rPr>
        <w:t>the </w:t>
      </w:r>
      <w:r w:rsidR="00664DC6" w:rsidRPr="00394A5B">
        <w:rPr>
          <w:rFonts w:cs="Arial"/>
        </w:rPr>
        <w:t xml:space="preserve">Annual Reports for </w:t>
      </w:r>
      <w:r w:rsidR="00685827">
        <w:rPr>
          <w:rFonts w:cs="Arial"/>
        </w:rPr>
        <w:t>the </w:t>
      </w:r>
      <w:r w:rsidR="00664DC6" w:rsidRPr="00394A5B">
        <w:rPr>
          <w:rFonts w:cs="Arial"/>
        </w:rPr>
        <w:t xml:space="preserve">IDBs provided to </w:t>
      </w:r>
      <w:r w:rsidR="00685827">
        <w:rPr>
          <w:rFonts w:cs="Arial"/>
        </w:rPr>
        <w:t>the </w:t>
      </w:r>
      <w:r w:rsidR="003265D9" w:rsidRPr="00394A5B">
        <w:rPr>
          <w:rFonts w:cs="Arial"/>
        </w:rPr>
        <w:t xml:space="preserve">Welsh </w:t>
      </w:r>
      <w:r w:rsidR="00E31AF0" w:rsidRPr="00394A5B">
        <w:rPr>
          <w:rFonts w:cs="Arial"/>
        </w:rPr>
        <w:t>Government</w:t>
      </w:r>
      <w:r w:rsidR="00664DC6" w:rsidRPr="00394A5B">
        <w:rPr>
          <w:rFonts w:cs="Arial"/>
        </w:rPr>
        <w:t>.</w:t>
      </w:r>
    </w:p>
    <w:p w14:paraId="4C767AB0" w14:textId="77777777" w:rsidR="00664DC6" w:rsidRPr="00394A5B" w:rsidRDefault="00664DC6" w:rsidP="00257F83">
      <w:pPr>
        <w:keepNext/>
        <w:keepLines/>
        <w:numPr>
          <w:ilvl w:val="0"/>
          <w:numId w:val="27"/>
        </w:numPr>
        <w:spacing w:after="60"/>
        <w:ind w:left="567" w:hanging="567"/>
        <w:rPr>
          <w:rFonts w:cs="Arial"/>
          <w:i/>
          <w:szCs w:val="24"/>
        </w:rPr>
      </w:pPr>
      <w:r w:rsidRPr="00394A5B">
        <w:rPr>
          <w:rFonts w:cs="Arial"/>
          <w:i/>
          <w:szCs w:val="24"/>
        </w:rPr>
        <w:t>National park levies</w:t>
      </w:r>
    </w:p>
    <w:p w14:paraId="784DA10E" w14:textId="03766EFC" w:rsidR="00664DC6" w:rsidRPr="00394A5B" w:rsidRDefault="00394A5B" w:rsidP="00257F83">
      <w:pPr>
        <w:pStyle w:val="BodyText"/>
        <w:rPr>
          <w:rFonts w:cs="Arial"/>
        </w:rPr>
      </w:pPr>
      <w:r>
        <w:rPr>
          <w:rFonts w:cs="Arial"/>
        </w:rPr>
        <w:t>The </w:t>
      </w:r>
      <w:r w:rsidR="00664DC6" w:rsidRPr="00394A5B">
        <w:rPr>
          <w:rFonts w:cs="Arial"/>
        </w:rPr>
        <w:t xml:space="preserve">amounts to be levied on </w:t>
      </w:r>
      <w:r w:rsidR="002C1209" w:rsidRPr="00394A5B">
        <w:rPr>
          <w:rFonts w:cs="Arial"/>
        </w:rPr>
        <w:t>C</w:t>
      </w:r>
      <w:r w:rsidR="00664DC6" w:rsidRPr="00394A5B">
        <w:rPr>
          <w:rFonts w:cs="Arial"/>
        </w:rPr>
        <w:t xml:space="preserve">ouncils by </w:t>
      </w:r>
      <w:r w:rsidR="00685827">
        <w:rPr>
          <w:rFonts w:cs="Arial"/>
        </w:rPr>
        <w:t>the </w:t>
      </w:r>
      <w:r w:rsidR="00664DC6" w:rsidRPr="00394A5B">
        <w:rPr>
          <w:rFonts w:cs="Arial"/>
        </w:rPr>
        <w:t xml:space="preserve">National Park Authorities for </w:t>
      </w:r>
      <w:r w:rsidR="00685827">
        <w:rPr>
          <w:rFonts w:cs="Arial"/>
        </w:rPr>
        <w:t>the </w:t>
      </w:r>
      <w:r w:rsidR="00664DC6" w:rsidRPr="00394A5B">
        <w:rPr>
          <w:rFonts w:cs="Arial"/>
        </w:rPr>
        <w:t>financial year</w:t>
      </w:r>
      <w:r w:rsidR="00A30DAC" w:rsidRPr="00394A5B">
        <w:rPr>
          <w:rFonts w:cs="Arial"/>
        </w:rPr>
        <w:t xml:space="preserve"> stated</w:t>
      </w:r>
      <w:r w:rsidR="00885552" w:rsidRPr="00394A5B">
        <w:rPr>
          <w:rFonts w:cs="Arial"/>
        </w:rPr>
        <w:t xml:space="preserve">.  </w:t>
      </w:r>
      <w:r w:rsidR="00664DC6" w:rsidRPr="00394A5B">
        <w:rPr>
          <w:rFonts w:cs="Arial"/>
        </w:rPr>
        <w:t xml:space="preserve">Where </w:t>
      </w:r>
      <w:r w:rsidR="00685827">
        <w:rPr>
          <w:rFonts w:cs="Arial"/>
        </w:rPr>
        <w:t>the </w:t>
      </w:r>
      <w:r w:rsidR="00664DC6" w:rsidRPr="00394A5B">
        <w:rPr>
          <w:rFonts w:cs="Arial"/>
        </w:rPr>
        <w:t xml:space="preserve">levy is to be borne by more than one </w:t>
      </w:r>
      <w:r w:rsidR="002C1209" w:rsidRPr="00394A5B">
        <w:rPr>
          <w:rFonts w:cs="Arial"/>
        </w:rPr>
        <w:t>C</w:t>
      </w:r>
      <w:r w:rsidR="00664DC6" w:rsidRPr="00394A5B">
        <w:rPr>
          <w:rFonts w:cs="Arial"/>
        </w:rPr>
        <w:t xml:space="preserve">ouncil, </w:t>
      </w:r>
      <w:r w:rsidR="00685827">
        <w:rPr>
          <w:rFonts w:cs="Arial"/>
        </w:rPr>
        <w:t>the </w:t>
      </w:r>
      <w:r w:rsidR="00664DC6" w:rsidRPr="00394A5B">
        <w:rPr>
          <w:rFonts w:cs="Arial"/>
        </w:rPr>
        <w:t xml:space="preserve">apportionment is according to </w:t>
      </w:r>
      <w:r w:rsidR="00685827">
        <w:rPr>
          <w:rFonts w:cs="Arial"/>
        </w:rPr>
        <w:t>the </w:t>
      </w:r>
      <w:r w:rsidR="00664DC6" w:rsidRPr="00394A5B">
        <w:rPr>
          <w:rFonts w:cs="Arial"/>
        </w:rPr>
        <w:t xml:space="preserve">percentages specified in </w:t>
      </w:r>
      <w:r w:rsidR="00685827">
        <w:rPr>
          <w:rFonts w:cs="Arial"/>
        </w:rPr>
        <w:t>the </w:t>
      </w:r>
      <w:r w:rsidR="00664DC6" w:rsidRPr="00394A5B">
        <w:rPr>
          <w:rFonts w:cs="Arial"/>
        </w:rPr>
        <w:t>National Park Authorities (Levies) (Wales) Regulations 1995 (S</w:t>
      </w:r>
      <w:r w:rsidR="00FC615F" w:rsidRPr="00394A5B">
        <w:rPr>
          <w:rFonts w:cs="Arial"/>
        </w:rPr>
        <w:t>.</w:t>
      </w:r>
      <w:r w:rsidR="00664DC6" w:rsidRPr="00394A5B">
        <w:rPr>
          <w:rFonts w:cs="Arial"/>
        </w:rPr>
        <w:t>I</w:t>
      </w:r>
      <w:r w:rsidR="00FC615F" w:rsidRPr="00394A5B">
        <w:rPr>
          <w:rFonts w:cs="Arial"/>
        </w:rPr>
        <w:t>.</w:t>
      </w:r>
      <w:r w:rsidR="00664DC6" w:rsidRPr="00394A5B">
        <w:rPr>
          <w:rFonts w:cs="Arial"/>
        </w:rPr>
        <w:t xml:space="preserve"> 1995/3019 as amended)</w:t>
      </w:r>
      <w:r w:rsidR="00664DC6" w:rsidRPr="00394A5B">
        <w:rPr>
          <w:rStyle w:val="FootnoteReference"/>
          <w:rFonts w:cs="Arial"/>
        </w:rPr>
        <w:footnoteReference w:id="5"/>
      </w:r>
      <w:r w:rsidR="00664DC6" w:rsidRPr="00394A5B">
        <w:rPr>
          <w:rFonts w:cs="Arial"/>
        </w:rPr>
        <w:t>.</w:t>
      </w:r>
    </w:p>
    <w:p w14:paraId="0D7FB039" w14:textId="77777777" w:rsidR="00E10A3D" w:rsidRPr="00394A5B" w:rsidRDefault="00887631" w:rsidP="00257F83">
      <w:pPr>
        <w:keepNext/>
        <w:keepLines/>
        <w:numPr>
          <w:ilvl w:val="0"/>
          <w:numId w:val="27"/>
        </w:numPr>
        <w:spacing w:after="60"/>
        <w:ind w:left="567" w:hanging="567"/>
        <w:rPr>
          <w:rFonts w:cs="Arial"/>
          <w:i/>
          <w:szCs w:val="24"/>
        </w:rPr>
      </w:pPr>
      <w:r w:rsidRPr="00394A5B">
        <w:rPr>
          <w:rFonts w:cs="Arial"/>
          <w:i/>
          <w:szCs w:val="24"/>
        </w:rPr>
        <w:t>D</w:t>
      </w:r>
      <w:r w:rsidR="00E10A3D" w:rsidRPr="00394A5B">
        <w:rPr>
          <w:rFonts w:cs="Arial"/>
          <w:i/>
          <w:szCs w:val="24"/>
        </w:rPr>
        <w:t xml:space="preserve">eprivation </w:t>
      </w:r>
      <w:r w:rsidRPr="00394A5B">
        <w:rPr>
          <w:rFonts w:cs="Arial"/>
          <w:i/>
          <w:szCs w:val="24"/>
        </w:rPr>
        <w:t>G</w:t>
      </w:r>
      <w:r w:rsidR="00E10A3D" w:rsidRPr="00394A5B">
        <w:rPr>
          <w:rFonts w:cs="Arial"/>
          <w:i/>
          <w:szCs w:val="24"/>
        </w:rPr>
        <w:t>rant</w:t>
      </w:r>
    </w:p>
    <w:p w14:paraId="769827D0" w14:textId="32E914BC" w:rsidR="00E10A3D" w:rsidRPr="00394A5B" w:rsidRDefault="00394A5B" w:rsidP="003D4E26">
      <w:pPr>
        <w:pStyle w:val="BodyText"/>
        <w:widowControl w:val="0"/>
        <w:rPr>
          <w:rFonts w:cs="Arial"/>
        </w:rPr>
      </w:pPr>
      <w:r>
        <w:rPr>
          <w:rFonts w:cs="Arial"/>
        </w:rPr>
        <w:t>The </w:t>
      </w:r>
      <w:r w:rsidR="00E10A3D" w:rsidRPr="00394A5B">
        <w:rPr>
          <w:rFonts w:cs="Arial"/>
        </w:rPr>
        <w:t>former deprivation grant maintains</w:t>
      </w:r>
      <w:r w:rsidR="00C94856" w:rsidRPr="00394A5B">
        <w:rPr>
          <w:rFonts w:cs="Arial"/>
        </w:rPr>
        <w:t xml:space="preserve"> a historic allocation based on </w:t>
      </w:r>
      <w:r w:rsidR="00685827">
        <w:rPr>
          <w:rFonts w:cs="Arial"/>
        </w:rPr>
        <w:t>the </w:t>
      </w:r>
      <w:r w:rsidR="00C94856" w:rsidRPr="00394A5B">
        <w:rPr>
          <w:rFonts w:cs="Arial"/>
        </w:rPr>
        <w:t>WIMD 2000.</w:t>
      </w:r>
    </w:p>
    <w:p w14:paraId="10195A26" w14:textId="77777777" w:rsidR="00887631" w:rsidRPr="00394A5B" w:rsidRDefault="00887631" w:rsidP="00257F83">
      <w:pPr>
        <w:pStyle w:val="BodyText"/>
        <w:keepNext/>
        <w:keepLines/>
        <w:widowControl w:val="0"/>
        <w:numPr>
          <w:ilvl w:val="0"/>
          <w:numId w:val="27"/>
        </w:numPr>
        <w:spacing w:after="60"/>
        <w:ind w:left="567" w:hanging="567"/>
        <w:rPr>
          <w:rFonts w:cs="Arial"/>
          <w:i/>
        </w:rPr>
      </w:pPr>
      <w:r w:rsidRPr="00394A5B">
        <w:rPr>
          <w:rFonts w:cs="Arial"/>
          <w:i/>
        </w:rPr>
        <w:t>Housing Benefit Recipients</w:t>
      </w:r>
    </w:p>
    <w:p w14:paraId="37A41928" w14:textId="4085745E" w:rsidR="002405CE" w:rsidRPr="00394A5B" w:rsidRDefault="00394A5B" w:rsidP="003D4E26">
      <w:pPr>
        <w:pStyle w:val="BodyText"/>
        <w:widowControl w:val="0"/>
        <w:rPr>
          <w:rFonts w:cs="Arial"/>
        </w:rPr>
      </w:pPr>
      <w:r>
        <w:rPr>
          <w:rFonts w:cs="Arial"/>
        </w:rPr>
        <w:t>The </w:t>
      </w:r>
      <w:r w:rsidR="00950509" w:rsidRPr="00394A5B">
        <w:rPr>
          <w:rFonts w:cs="Arial"/>
        </w:rPr>
        <w:t>number of</w:t>
      </w:r>
      <w:r w:rsidR="002405CE" w:rsidRPr="00394A5B">
        <w:rPr>
          <w:rFonts w:cs="Arial"/>
        </w:rPr>
        <w:t xml:space="preserve"> Housing Benefit recipients by </w:t>
      </w:r>
      <w:r w:rsidR="002C1209" w:rsidRPr="00394A5B">
        <w:rPr>
          <w:rFonts w:cs="Arial"/>
        </w:rPr>
        <w:t xml:space="preserve">Council </w:t>
      </w:r>
      <w:r w:rsidR="002405CE" w:rsidRPr="00394A5B">
        <w:rPr>
          <w:rFonts w:cs="Arial"/>
        </w:rPr>
        <w:t xml:space="preserve">taken from </w:t>
      </w:r>
      <w:r w:rsidR="00685827">
        <w:rPr>
          <w:rFonts w:cs="Arial"/>
        </w:rPr>
        <w:t>the </w:t>
      </w:r>
      <w:r w:rsidR="00950509" w:rsidRPr="00394A5B">
        <w:rPr>
          <w:rFonts w:cs="Arial"/>
        </w:rPr>
        <w:t xml:space="preserve">Single </w:t>
      </w:r>
      <w:r w:rsidR="002405CE" w:rsidRPr="00394A5B">
        <w:rPr>
          <w:rFonts w:cs="Arial"/>
        </w:rPr>
        <w:t>Housing Benefit Extract (SHBE) from Department for Work and Pensions (DWP)</w:t>
      </w:r>
      <w:r w:rsidR="00885552" w:rsidRPr="00394A5B">
        <w:rPr>
          <w:rFonts w:cs="Arial"/>
        </w:rPr>
        <w:t xml:space="preserve">.  </w:t>
      </w:r>
      <w:r w:rsidR="001B4DDC" w:rsidRPr="00394A5B">
        <w:rPr>
          <w:rFonts w:cs="Arial"/>
        </w:rPr>
        <w:t>An a</w:t>
      </w:r>
      <w:r w:rsidR="002405CE" w:rsidRPr="00394A5B">
        <w:rPr>
          <w:rFonts w:cs="Arial"/>
        </w:rPr>
        <w:t xml:space="preserve">verage of 24 months leading up to May of </w:t>
      </w:r>
      <w:r w:rsidR="00685827">
        <w:rPr>
          <w:rFonts w:cs="Arial"/>
        </w:rPr>
        <w:t>the </w:t>
      </w:r>
      <w:r w:rsidR="002405CE" w:rsidRPr="00394A5B">
        <w:rPr>
          <w:rFonts w:cs="Arial"/>
        </w:rPr>
        <w:t>data year are taken.</w:t>
      </w:r>
    </w:p>
    <w:p w14:paraId="367353AC" w14:textId="77777777" w:rsidR="00887631" w:rsidRPr="00394A5B" w:rsidRDefault="00887631" w:rsidP="00257F83">
      <w:pPr>
        <w:pStyle w:val="BodyText"/>
        <w:keepNext/>
        <w:keepLines/>
        <w:widowControl w:val="0"/>
        <w:numPr>
          <w:ilvl w:val="0"/>
          <w:numId w:val="27"/>
        </w:numPr>
        <w:spacing w:after="60"/>
        <w:ind w:left="567" w:hanging="567"/>
        <w:rPr>
          <w:rFonts w:cs="Arial"/>
          <w:i/>
        </w:rPr>
      </w:pPr>
      <w:r w:rsidRPr="00394A5B">
        <w:rPr>
          <w:rFonts w:cs="Arial"/>
          <w:i/>
        </w:rPr>
        <w:t xml:space="preserve">Council Tax </w:t>
      </w:r>
      <w:r w:rsidR="00DA33D2" w:rsidRPr="00394A5B">
        <w:rPr>
          <w:rFonts w:cs="Arial"/>
          <w:i/>
        </w:rPr>
        <w:t>Reduction Scheme</w:t>
      </w:r>
      <w:r w:rsidR="00101238" w:rsidRPr="00394A5B">
        <w:rPr>
          <w:rFonts w:cs="Arial"/>
          <w:i/>
        </w:rPr>
        <w:t>s</w:t>
      </w:r>
      <w:r w:rsidR="002F08F5" w:rsidRPr="00394A5B">
        <w:rPr>
          <w:rFonts w:cs="Arial"/>
          <w:i/>
        </w:rPr>
        <w:t xml:space="preserve"> - </w:t>
      </w:r>
      <w:r w:rsidR="0091225D" w:rsidRPr="00394A5B">
        <w:rPr>
          <w:rFonts w:cs="Arial"/>
          <w:i/>
        </w:rPr>
        <w:t>Expenditure</w:t>
      </w:r>
    </w:p>
    <w:p w14:paraId="015DC514" w14:textId="5E429FB3" w:rsidR="00887631" w:rsidRPr="00394A5B" w:rsidRDefault="00394A5B" w:rsidP="003D4E26">
      <w:pPr>
        <w:pStyle w:val="BodyText"/>
        <w:widowControl w:val="0"/>
        <w:rPr>
          <w:rFonts w:cs="Arial"/>
        </w:rPr>
      </w:pPr>
      <w:r>
        <w:rPr>
          <w:rFonts w:cs="Arial"/>
        </w:rPr>
        <w:t>The </w:t>
      </w:r>
      <w:r w:rsidR="0091225D" w:rsidRPr="00394A5B">
        <w:rPr>
          <w:rFonts w:cs="Arial"/>
        </w:rPr>
        <w:t xml:space="preserve">indicator is based on Council Tax Reduction Schemes Expenditure </w:t>
      </w:r>
      <w:r w:rsidR="00DA33D2" w:rsidRPr="00394A5B">
        <w:rPr>
          <w:rFonts w:cs="Arial"/>
        </w:rPr>
        <w:t xml:space="preserve">for </w:t>
      </w:r>
      <w:r w:rsidR="00685827">
        <w:rPr>
          <w:rFonts w:cs="Arial"/>
        </w:rPr>
        <w:t>the </w:t>
      </w:r>
      <w:r w:rsidR="00B51FCD" w:rsidRPr="00394A5B">
        <w:rPr>
          <w:rFonts w:cs="Arial"/>
        </w:rPr>
        <w:t>data year</w:t>
      </w:r>
      <w:r w:rsidR="00DA33D2" w:rsidRPr="00394A5B">
        <w:rPr>
          <w:rFonts w:cs="Arial"/>
        </w:rPr>
        <w:t xml:space="preserve"> </w:t>
      </w:r>
      <w:r w:rsidR="00AE2509" w:rsidRPr="00394A5B">
        <w:rPr>
          <w:rFonts w:cs="Arial"/>
        </w:rPr>
        <w:t xml:space="preserve">collected by </w:t>
      </w:r>
      <w:r w:rsidR="00685827">
        <w:rPr>
          <w:rFonts w:cs="Arial"/>
        </w:rPr>
        <w:t>the </w:t>
      </w:r>
      <w:r w:rsidR="00765AA9" w:rsidRPr="00394A5B">
        <w:rPr>
          <w:rFonts w:cs="Arial"/>
        </w:rPr>
        <w:t>Local Taxation Policy and Council Tax Support Branch within Welsh Government</w:t>
      </w:r>
      <w:r w:rsidR="00885552" w:rsidRPr="00394A5B">
        <w:rPr>
          <w:rFonts w:cs="Arial"/>
        </w:rPr>
        <w:t>.</w:t>
      </w:r>
      <w:r w:rsidR="005F374B" w:rsidRPr="00394A5B">
        <w:rPr>
          <w:rFonts w:cs="Arial"/>
        </w:rPr>
        <w:t xml:space="preserve"> Th</w:t>
      </w:r>
      <w:r w:rsidR="002B700D" w:rsidRPr="00394A5B">
        <w:rPr>
          <w:rFonts w:cs="Arial"/>
        </w:rPr>
        <w:t xml:space="preserve">is excludes </w:t>
      </w:r>
      <w:r w:rsidR="00685827">
        <w:rPr>
          <w:rFonts w:cs="Arial"/>
        </w:rPr>
        <w:t>the </w:t>
      </w:r>
      <w:r w:rsidR="002B700D" w:rsidRPr="00394A5B">
        <w:rPr>
          <w:rFonts w:cs="Arial"/>
        </w:rPr>
        <w:t>additional Covid-19 CTRS support provide to councils.</w:t>
      </w:r>
    </w:p>
    <w:p w14:paraId="0E4AEB54" w14:textId="77777777" w:rsidR="00DA33D2" w:rsidRPr="00394A5B" w:rsidRDefault="00DA33D2" w:rsidP="00257F83">
      <w:pPr>
        <w:pStyle w:val="BodyText"/>
        <w:keepNext/>
        <w:keepLines/>
        <w:widowControl w:val="0"/>
        <w:numPr>
          <w:ilvl w:val="0"/>
          <w:numId w:val="27"/>
        </w:numPr>
        <w:spacing w:after="60"/>
        <w:ind w:left="567" w:hanging="567"/>
        <w:rPr>
          <w:rFonts w:cs="Arial"/>
          <w:i/>
        </w:rPr>
      </w:pPr>
      <w:r w:rsidRPr="00394A5B">
        <w:rPr>
          <w:rFonts w:cs="Arial"/>
          <w:i/>
        </w:rPr>
        <w:t>Council Tax Red</w:t>
      </w:r>
      <w:r w:rsidR="00026A5C" w:rsidRPr="00394A5B">
        <w:rPr>
          <w:rFonts w:cs="Arial"/>
          <w:i/>
        </w:rPr>
        <w:t xml:space="preserve">uction Schemes </w:t>
      </w:r>
      <w:r w:rsidR="002F08F5" w:rsidRPr="00394A5B">
        <w:rPr>
          <w:rFonts w:cs="Arial"/>
          <w:i/>
        </w:rPr>
        <w:t xml:space="preserve">- </w:t>
      </w:r>
      <w:r w:rsidR="00026A5C" w:rsidRPr="00394A5B">
        <w:rPr>
          <w:rFonts w:cs="Arial"/>
          <w:i/>
        </w:rPr>
        <w:t>Caseload</w:t>
      </w:r>
    </w:p>
    <w:p w14:paraId="6B329DA2" w14:textId="63984AC0" w:rsidR="009B3102" w:rsidRPr="00394A5B" w:rsidRDefault="00394A5B" w:rsidP="003D4E26">
      <w:pPr>
        <w:pStyle w:val="BodyText"/>
        <w:widowControl w:val="0"/>
        <w:rPr>
          <w:rFonts w:cs="Arial"/>
        </w:rPr>
      </w:pPr>
      <w:r>
        <w:rPr>
          <w:rFonts w:cs="Arial"/>
        </w:rPr>
        <w:t>The </w:t>
      </w:r>
      <w:r w:rsidR="00DA33D2" w:rsidRPr="00394A5B">
        <w:rPr>
          <w:rFonts w:cs="Arial"/>
        </w:rPr>
        <w:t xml:space="preserve">indicator is based on Council Tax </w:t>
      </w:r>
      <w:r w:rsidR="002F08F5" w:rsidRPr="00394A5B">
        <w:rPr>
          <w:rFonts w:cs="Arial"/>
        </w:rPr>
        <w:t>Reduction Scheme</w:t>
      </w:r>
      <w:r w:rsidR="0091225D" w:rsidRPr="00394A5B">
        <w:rPr>
          <w:rFonts w:cs="Arial"/>
        </w:rPr>
        <w:t>s</w:t>
      </w:r>
      <w:r w:rsidR="00DA33D2" w:rsidRPr="00394A5B">
        <w:rPr>
          <w:rFonts w:cs="Arial"/>
        </w:rPr>
        <w:t xml:space="preserve"> Caseload for </w:t>
      </w:r>
      <w:r w:rsidR="00685827">
        <w:rPr>
          <w:rFonts w:cs="Arial"/>
        </w:rPr>
        <w:t>the </w:t>
      </w:r>
      <w:r w:rsidR="00B51FCD" w:rsidRPr="00394A5B">
        <w:rPr>
          <w:rFonts w:cs="Arial"/>
        </w:rPr>
        <w:t>data year</w:t>
      </w:r>
      <w:r w:rsidR="00DA33D2" w:rsidRPr="00394A5B">
        <w:rPr>
          <w:rFonts w:cs="Arial"/>
        </w:rPr>
        <w:t xml:space="preserve"> </w:t>
      </w:r>
      <w:r w:rsidR="00AE2509" w:rsidRPr="00394A5B">
        <w:rPr>
          <w:rFonts w:cs="Arial"/>
        </w:rPr>
        <w:t>collected by</w:t>
      </w:r>
      <w:r w:rsidR="00765AA9" w:rsidRPr="00394A5B">
        <w:rPr>
          <w:rFonts w:cs="Arial"/>
        </w:rPr>
        <w:t xml:space="preserve"> </w:t>
      </w:r>
      <w:r w:rsidR="00685827">
        <w:rPr>
          <w:rFonts w:cs="Arial"/>
        </w:rPr>
        <w:t>the </w:t>
      </w:r>
      <w:r w:rsidR="00765AA9" w:rsidRPr="00394A5B">
        <w:rPr>
          <w:rFonts w:cs="Arial"/>
        </w:rPr>
        <w:t>Local Taxation Policy and Council Tax Support Branch within Welsh Government.</w:t>
      </w:r>
    </w:p>
    <w:p w14:paraId="2950DF43" w14:textId="213EE4EA" w:rsidR="009B3102" w:rsidRPr="00394A5B" w:rsidRDefault="002B700D" w:rsidP="00257F83">
      <w:pPr>
        <w:pStyle w:val="BodyText"/>
        <w:keepNext/>
        <w:keepLines/>
        <w:widowControl w:val="0"/>
        <w:numPr>
          <w:ilvl w:val="0"/>
          <w:numId w:val="27"/>
        </w:numPr>
        <w:spacing w:after="60"/>
        <w:ind w:left="567" w:hanging="567"/>
        <w:rPr>
          <w:rFonts w:cs="Arial"/>
          <w:i/>
        </w:rPr>
      </w:pPr>
      <w:r w:rsidRPr="00394A5B">
        <w:rPr>
          <w:rFonts w:cs="Arial"/>
          <w:i/>
        </w:rPr>
        <w:t>Gate fees</w:t>
      </w:r>
    </w:p>
    <w:p w14:paraId="1E91DB6B" w14:textId="00C7F03C" w:rsidR="00AE2509" w:rsidRPr="00394A5B" w:rsidRDefault="00394A5B" w:rsidP="007553B0">
      <w:pPr>
        <w:pStyle w:val="BodyText"/>
        <w:widowControl w:val="0"/>
        <w:spacing w:after="60"/>
        <w:rPr>
          <w:rFonts w:cs="Arial"/>
          <w:i/>
        </w:rPr>
      </w:pPr>
      <w:r>
        <w:rPr>
          <w:rFonts w:cs="Arial"/>
        </w:rPr>
        <w:t>The </w:t>
      </w:r>
      <w:r w:rsidR="009B3102" w:rsidRPr="00394A5B">
        <w:rPr>
          <w:rFonts w:cs="Arial"/>
        </w:rPr>
        <w:t xml:space="preserve">indicator is </w:t>
      </w:r>
      <w:r w:rsidR="007553B0" w:rsidRPr="00394A5B">
        <w:rPr>
          <w:rFonts w:cs="Arial"/>
        </w:rPr>
        <w:t xml:space="preserve">based on a fixed profile of expenditure for </w:t>
      </w:r>
      <w:r w:rsidR="00685827">
        <w:rPr>
          <w:rFonts w:cs="Arial"/>
        </w:rPr>
        <w:t>the </w:t>
      </w:r>
      <w:r w:rsidR="007553B0" w:rsidRPr="00394A5B">
        <w:rPr>
          <w:rFonts w:cs="Arial"/>
        </w:rPr>
        <w:t>provision of waste management services undertaken.</w:t>
      </w:r>
    </w:p>
    <w:p w14:paraId="18BF7FAB" w14:textId="3E1D4D6B" w:rsidR="00C94856" w:rsidRPr="00685827" w:rsidRDefault="00664DC6" w:rsidP="00685827">
      <w:pPr>
        <w:pStyle w:val="Heading3"/>
      </w:pPr>
      <w:r w:rsidRPr="00685827">
        <w:br w:type="page"/>
      </w:r>
      <w:r w:rsidR="00394A5B" w:rsidRPr="00685827">
        <w:t>Table </w:t>
      </w:r>
      <w:r w:rsidR="00BC6FD9" w:rsidRPr="00685827">
        <w:t>2:</w:t>
      </w:r>
      <w:r w:rsidR="00966094" w:rsidRPr="00685827">
        <w:t xml:space="preserve"> </w:t>
      </w:r>
      <w:r w:rsidR="00C94856" w:rsidRPr="00685827">
        <w:t xml:space="preserve">Sum to be added to </w:t>
      </w:r>
      <w:r w:rsidR="00685827">
        <w:t>the </w:t>
      </w:r>
      <w:r w:rsidR="00C94856" w:rsidRPr="00685827">
        <w:t xml:space="preserve">value calculated using </w:t>
      </w:r>
      <w:r w:rsidR="00685827">
        <w:t>the </w:t>
      </w:r>
      <w:r w:rsidR="00C94856" w:rsidRPr="00685827">
        <w:t>formula set out in</w:t>
      </w:r>
      <w:r w:rsidR="00782621" w:rsidRPr="00685827">
        <w:t xml:space="preserve"> </w:t>
      </w:r>
      <w:r w:rsidR="00394A5B" w:rsidRPr="00685827">
        <w:t>Table </w:t>
      </w:r>
      <w:r w:rsidR="00C94856" w:rsidRPr="00685827">
        <w:t>1 for debt financing and other items</w:t>
      </w:r>
    </w:p>
    <w:tbl>
      <w:tblPr>
        <w:tblW w:w="0" w:type="auto"/>
        <w:tblInd w:w="93" w:type="dxa"/>
        <w:tblBorders>
          <w:top w:val="single" w:sz="4" w:space="0" w:color="auto"/>
          <w:bottom w:val="single" w:sz="4" w:space="0" w:color="auto"/>
        </w:tblBorders>
        <w:tblLook w:val="04E0" w:firstRow="1" w:lastRow="1" w:firstColumn="1" w:lastColumn="0" w:noHBand="0" w:noVBand="1"/>
        <w:tblDescription w:val="Table 2: Sum to be added to the value calculated using the formula set out in Table 1 for debt financing and other items"/>
      </w:tblPr>
      <w:tblGrid>
        <w:gridCol w:w="6961"/>
        <w:gridCol w:w="2268"/>
      </w:tblGrid>
      <w:tr w:rsidR="00394A5B" w:rsidRPr="00394A5B" w14:paraId="4EA24940" w14:textId="77777777" w:rsidTr="001E4877">
        <w:trPr>
          <w:trHeight w:val="476"/>
          <w:tblHeader/>
        </w:trPr>
        <w:tc>
          <w:tcPr>
            <w:tcW w:w="696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1BA48" w14:textId="77777777" w:rsidR="00F600CD" w:rsidRPr="00394A5B" w:rsidRDefault="00BC6FD9" w:rsidP="00E419A5">
            <w:pPr>
              <w:pStyle w:val="TableHeadings"/>
              <w:rPr>
                <w:lang w:val="cy-GB" w:eastAsia="cy-GB"/>
              </w:rPr>
            </w:pPr>
            <w:r w:rsidRPr="00394A5B">
              <w:rPr>
                <w:lang w:val="cy-GB" w:eastAsia="cy-GB"/>
              </w:rPr>
              <w:t>County and county borough councils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4237C" w14:textId="77777777" w:rsidR="00F600CD" w:rsidRPr="00394A5B" w:rsidRDefault="00F600CD" w:rsidP="00E419A5">
            <w:pPr>
              <w:pStyle w:val="TableHeadings"/>
              <w:rPr>
                <w:lang w:val="cy-GB" w:eastAsia="cy-GB"/>
              </w:rPr>
            </w:pPr>
            <w:r w:rsidRPr="00394A5B">
              <w:rPr>
                <w:lang w:val="cy-GB" w:eastAsia="cy-GB"/>
              </w:rPr>
              <w:t>£</w:t>
            </w:r>
          </w:p>
        </w:tc>
      </w:tr>
      <w:tr w:rsidR="00394A5B" w:rsidRPr="00394A5B" w14:paraId="6208B739" w14:textId="77777777" w:rsidTr="001E4877">
        <w:trPr>
          <w:trHeight w:val="226"/>
        </w:trPr>
        <w:tc>
          <w:tcPr>
            <w:tcW w:w="6961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hideMark/>
          </w:tcPr>
          <w:p w14:paraId="41ACF864" w14:textId="77777777" w:rsidR="009858F0" w:rsidRPr="00394A5B" w:rsidRDefault="009858F0" w:rsidP="00E419A5">
            <w:pPr>
              <w:pStyle w:val="TableRowText"/>
              <w:rPr>
                <w:lang w:val="cy-GB" w:eastAsia="cy-GB"/>
              </w:rPr>
            </w:pPr>
            <w:r w:rsidRPr="00394A5B">
              <w:rPr>
                <w:lang w:val="cy-GB" w:eastAsia="cy-GB"/>
              </w:rPr>
              <w:t>Isle of Anglesey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1EF5E" w14:textId="2B662818" w:rsidR="009858F0" w:rsidRPr="00394A5B" w:rsidRDefault="009858F0" w:rsidP="00E419A5">
            <w:pPr>
              <w:pStyle w:val="TableText"/>
            </w:pPr>
            <w:r w:rsidRPr="00394A5B">
              <w:t xml:space="preserve">        8,128,804 </w:t>
            </w:r>
          </w:p>
        </w:tc>
      </w:tr>
      <w:tr w:rsidR="00394A5B" w:rsidRPr="00394A5B" w14:paraId="256882B6" w14:textId="77777777" w:rsidTr="001E4877">
        <w:trPr>
          <w:trHeight w:val="300"/>
        </w:trPr>
        <w:tc>
          <w:tcPr>
            <w:tcW w:w="6961" w:type="dxa"/>
            <w:tcBorders>
              <w:top w:val="nil"/>
            </w:tcBorders>
            <w:shd w:val="clear" w:color="000000" w:fill="FFFFFF"/>
            <w:noWrap/>
            <w:hideMark/>
          </w:tcPr>
          <w:p w14:paraId="0369E9E4" w14:textId="77777777" w:rsidR="009858F0" w:rsidRPr="00394A5B" w:rsidRDefault="009858F0" w:rsidP="00E419A5">
            <w:pPr>
              <w:pStyle w:val="TableRowText"/>
              <w:rPr>
                <w:lang w:val="cy-GB" w:eastAsia="cy-GB"/>
              </w:rPr>
            </w:pPr>
            <w:r w:rsidRPr="00394A5B">
              <w:rPr>
                <w:lang w:val="cy-GB" w:eastAsia="cy-GB"/>
              </w:rPr>
              <w:t>Gwynedd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E7DB0" w14:textId="35D6A7DE" w:rsidR="009858F0" w:rsidRPr="00394A5B" w:rsidRDefault="009858F0" w:rsidP="00E419A5">
            <w:pPr>
              <w:pStyle w:val="TableText"/>
            </w:pPr>
            <w:r w:rsidRPr="00394A5B">
              <w:t xml:space="preserve">      14,760,680 </w:t>
            </w:r>
          </w:p>
        </w:tc>
      </w:tr>
      <w:tr w:rsidR="00394A5B" w:rsidRPr="00394A5B" w14:paraId="4AD2CAB4" w14:textId="77777777" w:rsidTr="001E4877">
        <w:trPr>
          <w:trHeight w:val="300"/>
        </w:trPr>
        <w:tc>
          <w:tcPr>
            <w:tcW w:w="6961" w:type="dxa"/>
            <w:shd w:val="clear" w:color="000000" w:fill="FFFFFF"/>
            <w:noWrap/>
            <w:hideMark/>
          </w:tcPr>
          <w:p w14:paraId="356B3551" w14:textId="77777777" w:rsidR="009858F0" w:rsidRPr="00394A5B" w:rsidRDefault="009858F0" w:rsidP="00E419A5">
            <w:pPr>
              <w:pStyle w:val="TableRowText"/>
              <w:rPr>
                <w:lang w:val="cy-GB" w:eastAsia="cy-GB"/>
              </w:rPr>
            </w:pPr>
            <w:r w:rsidRPr="00394A5B">
              <w:rPr>
                <w:lang w:val="cy-GB" w:eastAsia="cy-GB"/>
              </w:rPr>
              <w:t>Conwy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93CEA" w14:textId="2814F585" w:rsidR="009858F0" w:rsidRPr="00394A5B" w:rsidRDefault="009858F0" w:rsidP="00E419A5">
            <w:pPr>
              <w:pStyle w:val="TableText"/>
            </w:pPr>
            <w:r w:rsidRPr="00394A5B">
              <w:t xml:space="preserve">      15,646,286 </w:t>
            </w:r>
          </w:p>
        </w:tc>
      </w:tr>
      <w:tr w:rsidR="00394A5B" w:rsidRPr="00394A5B" w14:paraId="35FE5B93" w14:textId="77777777" w:rsidTr="001E4877">
        <w:trPr>
          <w:trHeight w:val="300"/>
        </w:trPr>
        <w:tc>
          <w:tcPr>
            <w:tcW w:w="6961" w:type="dxa"/>
            <w:shd w:val="clear" w:color="000000" w:fill="FFFFFF"/>
            <w:noWrap/>
            <w:hideMark/>
          </w:tcPr>
          <w:p w14:paraId="13B7323C" w14:textId="77777777" w:rsidR="009858F0" w:rsidRPr="00394A5B" w:rsidRDefault="009858F0" w:rsidP="00E419A5">
            <w:pPr>
              <w:pStyle w:val="TableRowText"/>
              <w:rPr>
                <w:lang w:val="cy-GB" w:eastAsia="cy-GB"/>
              </w:rPr>
            </w:pPr>
            <w:r w:rsidRPr="00394A5B">
              <w:rPr>
                <w:lang w:val="cy-GB" w:eastAsia="cy-GB"/>
              </w:rPr>
              <w:t>Denbighshire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EEF47" w14:textId="0CADFB7D" w:rsidR="009858F0" w:rsidRPr="00394A5B" w:rsidRDefault="009858F0" w:rsidP="00E419A5">
            <w:pPr>
              <w:pStyle w:val="TableText"/>
            </w:pPr>
            <w:r w:rsidRPr="00394A5B">
              <w:t xml:space="preserve">      13,796,984 </w:t>
            </w:r>
          </w:p>
        </w:tc>
      </w:tr>
      <w:tr w:rsidR="00394A5B" w:rsidRPr="00394A5B" w14:paraId="70758642" w14:textId="77777777" w:rsidTr="001E4877">
        <w:trPr>
          <w:trHeight w:val="300"/>
        </w:trPr>
        <w:tc>
          <w:tcPr>
            <w:tcW w:w="6961" w:type="dxa"/>
            <w:shd w:val="clear" w:color="000000" w:fill="FFFFFF"/>
            <w:noWrap/>
            <w:hideMark/>
          </w:tcPr>
          <w:p w14:paraId="7A0BD5B7" w14:textId="77777777" w:rsidR="009858F0" w:rsidRPr="00394A5B" w:rsidRDefault="009858F0" w:rsidP="00E419A5">
            <w:pPr>
              <w:pStyle w:val="TableRowText"/>
              <w:rPr>
                <w:lang w:val="cy-GB" w:eastAsia="cy-GB"/>
              </w:rPr>
            </w:pPr>
            <w:r w:rsidRPr="00394A5B">
              <w:rPr>
                <w:lang w:val="cy-GB" w:eastAsia="cy-GB"/>
              </w:rPr>
              <w:t>Flintshire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2B9FA" w14:textId="4A9AAD5D" w:rsidR="009858F0" w:rsidRPr="00394A5B" w:rsidRDefault="009858F0" w:rsidP="00E419A5">
            <w:pPr>
              <w:pStyle w:val="TableText"/>
            </w:pPr>
            <w:r w:rsidRPr="00394A5B">
              <w:t xml:space="preserve">      15,033,982 </w:t>
            </w:r>
          </w:p>
        </w:tc>
      </w:tr>
      <w:tr w:rsidR="00394A5B" w:rsidRPr="00394A5B" w14:paraId="09982145" w14:textId="77777777" w:rsidTr="001E4877">
        <w:trPr>
          <w:trHeight w:val="300"/>
        </w:trPr>
        <w:tc>
          <w:tcPr>
            <w:tcW w:w="6961" w:type="dxa"/>
            <w:shd w:val="clear" w:color="000000" w:fill="FFFFFF"/>
            <w:noWrap/>
            <w:hideMark/>
          </w:tcPr>
          <w:p w14:paraId="67AC7508" w14:textId="77777777" w:rsidR="009858F0" w:rsidRPr="00394A5B" w:rsidRDefault="009858F0" w:rsidP="00E419A5">
            <w:pPr>
              <w:pStyle w:val="TableRowText"/>
              <w:rPr>
                <w:lang w:val="cy-GB" w:eastAsia="cy-GB"/>
              </w:rPr>
            </w:pPr>
            <w:r w:rsidRPr="00394A5B">
              <w:rPr>
                <w:lang w:val="cy-GB" w:eastAsia="cy-GB"/>
              </w:rPr>
              <w:t>Wrexham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292D7" w14:textId="44C132BB" w:rsidR="009858F0" w:rsidRPr="00394A5B" w:rsidRDefault="009858F0" w:rsidP="00E419A5">
            <w:pPr>
              <w:pStyle w:val="TableText"/>
            </w:pPr>
            <w:r w:rsidRPr="00394A5B">
              <w:t xml:space="preserve">      13,756,858 </w:t>
            </w:r>
          </w:p>
        </w:tc>
      </w:tr>
      <w:tr w:rsidR="00394A5B" w:rsidRPr="00394A5B" w14:paraId="269B15BA" w14:textId="77777777" w:rsidTr="001E4877">
        <w:trPr>
          <w:trHeight w:val="300"/>
        </w:trPr>
        <w:tc>
          <w:tcPr>
            <w:tcW w:w="6961" w:type="dxa"/>
            <w:shd w:val="clear" w:color="000000" w:fill="FFFFFF"/>
            <w:noWrap/>
            <w:hideMark/>
          </w:tcPr>
          <w:p w14:paraId="2C40FB68" w14:textId="77777777" w:rsidR="009858F0" w:rsidRPr="00394A5B" w:rsidRDefault="009858F0" w:rsidP="00E419A5">
            <w:pPr>
              <w:pStyle w:val="TableRowText"/>
              <w:rPr>
                <w:lang w:val="cy-GB" w:eastAsia="cy-GB"/>
              </w:rPr>
            </w:pPr>
            <w:r w:rsidRPr="00394A5B">
              <w:rPr>
                <w:lang w:val="cy-GB" w:eastAsia="cy-GB"/>
              </w:rPr>
              <w:t>Powys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9861E" w14:textId="742B1472" w:rsidR="009858F0" w:rsidRPr="00394A5B" w:rsidRDefault="009858F0" w:rsidP="00E419A5">
            <w:pPr>
              <w:pStyle w:val="TableText"/>
            </w:pPr>
            <w:r w:rsidRPr="00394A5B">
              <w:t xml:space="preserve">      17,520,509 </w:t>
            </w:r>
          </w:p>
        </w:tc>
      </w:tr>
      <w:tr w:rsidR="00394A5B" w:rsidRPr="00394A5B" w14:paraId="31DDADD9" w14:textId="77777777" w:rsidTr="001E4877">
        <w:trPr>
          <w:trHeight w:val="300"/>
        </w:trPr>
        <w:tc>
          <w:tcPr>
            <w:tcW w:w="6961" w:type="dxa"/>
            <w:shd w:val="clear" w:color="000000" w:fill="FFFFFF"/>
            <w:noWrap/>
            <w:hideMark/>
          </w:tcPr>
          <w:p w14:paraId="269D3878" w14:textId="77777777" w:rsidR="009858F0" w:rsidRPr="00394A5B" w:rsidRDefault="009858F0" w:rsidP="00E419A5">
            <w:pPr>
              <w:pStyle w:val="TableRowText"/>
              <w:rPr>
                <w:lang w:val="cy-GB" w:eastAsia="cy-GB"/>
              </w:rPr>
            </w:pPr>
            <w:r w:rsidRPr="00394A5B">
              <w:rPr>
                <w:lang w:val="cy-GB" w:eastAsia="cy-GB"/>
              </w:rPr>
              <w:t>Ceredigion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C1A66" w14:textId="5AB2E08F" w:rsidR="009858F0" w:rsidRPr="00394A5B" w:rsidRDefault="009858F0" w:rsidP="00E419A5">
            <w:pPr>
              <w:pStyle w:val="TableText"/>
            </w:pPr>
            <w:r w:rsidRPr="00394A5B">
              <w:t xml:space="preserve">      10,755,444 </w:t>
            </w:r>
          </w:p>
        </w:tc>
      </w:tr>
      <w:tr w:rsidR="00394A5B" w:rsidRPr="00394A5B" w14:paraId="2AD75F98" w14:textId="77777777" w:rsidTr="001E4877">
        <w:trPr>
          <w:trHeight w:val="300"/>
        </w:trPr>
        <w:tc>
          <w:tcPr>
            <w:tcW w:w="6961" w:type="dxa"/>
            <w:shd w:val="clear" w:color="000000" w:fill="FFFFFF"/>
            <w:noWrap/>
            <w:hideMark/>
          </w:tcPr>
          <w:p w14:paraId="20631BCD" w14:textId="77777777" w:rsidR="009858F0" w:rsidRPr="00394A5B" w:rsidRDefault="009858F0" w:rsidP="00E419A5">
            <w:pPr>
              <w:pStyle w:val="TableRowText"/>
              <w:rPr>
                <w:lang w:val="cy-GB" w:eastAsia="cy-GB"/>
              </w:rPr>
            </w:pPr>
            <w:r w:rsidRPr="00394A5B">
              <w:rPr>
                <w:lang w:val="cy-GB" w:eastAsia="cy-GB"/>
              </w:rPr>
              <w:t>Pembrokeshire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E4345" w14:textId="75C0C21C" w:rsidR="009858F0" w:rsidRPr="00394A5B" w:rsidRDefault="009858F0" w:rsidP="00E419A5">
            <w:pPr>
              <w:pStyle w:val="TableText"/>
            </w:pPr>
            <w:r w:rsidRPr="00394A5B">
              <w:t xml:space="preserve">      15,064,251 </w:t>
            </w:r>
          </w:p>
        </w:tc>
      </w:tr>
      <w:tr w:rsidR="00394A5B" w:rsidRPr="00394A5B" w14:paraId="0467960C" w14:textId="77777777" w:rsidTr="001E4877">
        <w:trPr>
          <w:trHeight w:val="300"/>
        </w:trPr>
        <w:tc>
          <w:tcPr>
            <w:tcW w:w="6961" w:type="dxa"/>
            <w:shd w:val="clear" w:color="000000" w:fill="FFFFFF"/>
            <w:noWrap/>
            <w:hideMark/>
          </w:tcPr>
          <w:p w14:paraId="237B2688" w14:textId="77777777" w:rsidR="009858F0" w:rsidRPr="00394A5B" w:rsidRDefault="009858F0" w:rsidP="00E419A5">
            <w:pPr>
              <w:pStyle w:val="TableRowText"/>
              <w:rPr>
                <w:lang w:val="cy-GB" w:eastAsia="cy-GB"/>
              </w:rPr>
            </w:pPr>
            <w:r w:rsidRPr="00394A5B">
              <w:rPr>
                <w:lang w:val="cy-GB" w:eastAsia="cy-GB"/>
              </w:rPr>
              <w:t>Carmarthenshire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200DA" w14:textId="7C36B4A0" w:rsidR="009858F0" w:rsidRPr="00394A5B" w:rsidRDefault="009858F0" w:rsidP="00E419A5">
            <w:pPr>
              <w:pStyle w:val="TableText"/>
            </w:pPr>
            <w:r w:rsidRPr="00394A5B">
              <w:t xml:space="preserve">      20,544,829 </w:t>
            </w:r>
          </w:p>
        </w:tc>
      </w:tr>
      <w:tr w:rsidR="00394A5B" w:rsidRPr="00394A5B" w14:paraId="4B37FACE" w14:textId="77777777" w:rsidTr="001E4877">
        <w:trPr>
          <w:trHeight w:val="300"/>
        </w:trPr>
        <w:tc>
          <w:tcPr>
            <w:tcW w:w="6961" w:type="dxa"/>
            <w:shd w:val="clear" w:color="000000" w:fill="FFFFFF"/>
            <w:noWrap/>
            <w:hideMark/>
          </w:tcPr>
          <w:p w14:paraId="14F3FE96" w14:textId="77777777" w:rsidR="009858F0" w:rsidRPr="00394A5B" w:rsidRDefault="009858F0" w:rsidP="00E419A5">
            <w:pPr>
              <w:pStyle w:val="TableRowText"/>
              <w:rPr>
                <w:lang w:val="cy-GB" w:eastAsia="cy-GB"/>
              </w:rPr>
            </w:pPr>
            <w:r w:rsidRPr="00394A5B">
              <w:rPr>
                <w:lang w:val="cy-GB" w:eastAsia="cy-GB"/>
              </w:rPr>
              <w:t>Swansea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A8B1E" w14:textId="2A4210DA" w:rsidR="009858F0" w:rsidRPr="00394A5B" w:rsidRDefault="009858F0" w:rsidP="00E419A5">
            <w:pPr>
              <w:pStyle w:val="TableText"/>
            </w:pPr>
            <w:r w:rsidRPr="00394A5B">
              <w:t xml:space="preserve">      23,940,855 </w:t>
            </w:r>
          </w:p>
        </w:tc>
      </w:tr>
      <w:tr w:rsidR="00394A5B" w:rsidRPr="00394A5B" w14:paraId="11602314" w14:textId="77777777" w:rsidTr="001E4877">
        <w:trPr>
          <w:trHeight w:val="300"/>
        </w:trPr>
        <w:tc>
          <w:tcPr>
            <w:tcW w:w="6961" w:type="dxa"/>
            <w:shd w:val="clear" w:color="000000" w:fill="FFFFFF"/>
            <w:noWrap/>
            <w:hideMark/>
          </w:tcPr>
          <w:p w14:paraId="3D9D82E2" w14:textId="77777777" w:rsidR="009858F0" w:rsidRPr="00394A5B" w:rsidRDefault="009858F0" w:rsidP="00E419A5">
            <w:pPr>
              <w:pStyle w:val="TableRowText"/>
              <w:rPr>
                <w:lang w:val="cy-GB" w:eastAsia="cy-GB"/>
              </w:rPr>
            </w:pPr>
            <w:r w:rsidRPr="00394A5B">
              <w:rPr>
                <w:lang w:val="cy-GB" w:eastAsia="cy-GB"/>
              </w:rPr>
              <w:t>Neath Port Talbot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2EDF8" w14:textId="1C18D914" w:rsidR="009858F0" w:rsidRPr="00394A5B" w:rsidRDefault="009858F0" w:rsidP="00E419A5">
            <w:pPr>
              <w:pStyle w:val="TableText"/>
            </w:pPr>
            <w:r w:rsidRPr="00394A5B">
              <w:t xml:space="preserve">      15,472,376 </w:t>
            </w:r>
          </w:p>
        </w:tc>
      </w:tr>
      <w:tr w:rsidR="00394A5B" w:rsidRPr="00394A5B" w14:paraId="5F1734E5" w14:textId="77777777" w:rsidTr="001E4877">
        <w:trPr>
          <w:trHeight w:val="300"/>
        </w:trPr>
        <w:tc>
          <w:tcPr>
            <w:tcW w:w="6961" w:type="dxa"/>
            <w:shd w:val="clear" w:color="000000" w:fill="FFFFFF"/>
            <w:noWrap/>
            <w:hideMark/>
          </w:tcPr>
          <w:p w14:paraId="302E83E5" w14:textId="77777777" w:rsidR="009858F0" w:rsidRPr="00394A5B" w:rsidRDefault="009858F0" w:rsidP="00E419A5">
            <w:pPr>
              <w:pStyle w:val="TableRowText"/>
              <w:rPr>
                <w:lang w:val="cy-GB" w:eastAsia="cy-GB"/>
              </w:rPr>
            </w:pPr>
            <w:r w:rsidRPr="00394A5B">
              <w:rPr>
                <w:lang w:val="cy-GB" w:eastAsia="cy-GB"/>
              </w:rPr>
              <w:t>Bridgend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6A291" w14:textId="15C09603" w:rsidR="009858F0" w:rsidRPr="00394A5B" w:rsidRDefault="009858F0" w:rsidP="00E419A5">
            <w:pPr>
              <w:pStyle w:val="TableText"/>
            </w:pPr>
            <w:r w:rsidRPr="00394A5B">
              <w:t xml:space="preserve">      15,608,937 </w:t>
            </w:r>
          </w:p>
        </w:tc>
      </w:tr>
      <w:tr w:rsidR="00394A5B" w:rsidRPr="00394A5B" w14:paraId="5E889840" w14:textId="77777777" w:rsidTr="001E4877">
        <w:trPr>
          <w:trHeight w:val="300"/>
        </w:trPr>
        <w:tc>
          <w:tcPr>
            <w:tcW w:w="6961" w:type="dxa"/>
            <w:shd w:val="clear" w:color="000000" w:fill="FFFFFF"/>
            <w:noWrap/>
            <w:hideMark/>
          </w:tcPr>
          <w:p w14:paraId="18551314" w14:textId="1E063841" w:rsidR="009858F0" w:rsidRPr="00394A5B" w:rsidRDefault="00394A5B" w:rsidP="00E419A5">
            <w:pPr>
              <w:pStyle w:val="TableRowText"/>
              <w:rPr>
                <w:lang w:val="cy-GB" w:eastAsia="cy-GB"/>
              </w:rPr>
            </w:pPr>
            <w:r>
              <w:rPr>
                <w:lang w:val="cy-GB" w:eastAsia="cy-GB"/>
              </w:rPr>
              <w:t>The </w:t>
            </w:r>
            <w:r w:rsidR="009858F0" w:rsidRPr="00394A5B">
              <w:rPr>
                <w:lang w:val="cy-GB" w:eastAsia="cy-GB"/>
              </w:rPr>
              <w:t>Vale of Glamorgan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9B099" w14:textId="135B225C" w:rsidR="009858F0" w:rsidRPr="00394A5B" w:rsidRDefault="009858F0" w:rsidP="00E419A5">
            <w:pPr>
              <w:pStyle w:val="TableText"/>
            </w:pPr>
            <w:r w:rsidRPr="00394A5B">
              <w:t xml:space="preserve">      11,463,005 </w:t>
            </w:r>
          </w:p>
        </w:tc>
      </w:tr>
      <w:tr w:rsidR="00394A5B" w:rsidRPr="00394A5B" w14:paraId="6026DC5B" w14:textId="77777777" w:rsidTr="001E4877">
        <w:trPr>
          <w:trHeight w:val="300"/>
        </w:trPr>
        <w:tc>
          <w:tcPr>
            <w:tcW w:w="6961" w:type="dxa"/>
            <w:shd w:val="clear" w:color="000000" w:fill="FFFFFF"/>
            <w:noWrap/>
            <w:hideMark/>
          </w:tcPr>
          <w:p w14:paraId="3945B1B5" w14:textId="77777777" w:rsidR="009858F0" w:rsidRPr="00394A5B" w:rsidRDefault="009858F0" w:rsidP="00E419A5">
            <w:pPr>
              <w:pStyle w:val="TableRowText"/>
              <w:rPr>
                <w:lang w:val="cy-GB" w:eastAsia="cy-GB"/>
              </w:rPr>
            </w:pPr>
            <w:r w:rsidRPr="00394A5B">
              <w:rPr>
                <w:lang w:val="cy-GB" w:eastAsia="cy-GB"/>
              </w:rPr>
              <w:t>Rhondda Cynon Taf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F3A28" w14:textId="3C250084" w:rsidR="009858F0" w:rsidRPr="00394A5B" w:rsidRDefault="009858F0" w:rsidP="00E419A5">
            <w:pPr>
              <w:pStyle w:val="TableText"/>
            </w:pPr>
            <w:r w:rsidRPr="00394A5B">
              <w:t xml:space="preserve">      28,521,398 </w:t>
            </w:r>
          </w:p>
        </w:tc>
      </w:tr>
      <w:tr w:rsidR="00394A5B" w:rsidRPr="00394A5B" w14:paraId="5598718A" w14:textId="77777777" w:rsidTr="001E4877">
        <w:trPr>
          <w:trHeight w:val="300"/>
        </w:trPr>
        <w:tc>
          <w:tcPr>
            <w:tcW w:w="6961" w:type="dxa"/>
            <w:shd w:val="clear" w:color="000000" w:fill="FFFFFF"/>
            <w:noWrap/>
            <w:hideMark/>
          </w:tcPr>
          <w:p w14:paraId="4DE0885E" w14:textId="77777777" w:rsidR="009858F0" w:rsidRPr="00394A5B" w:rsidRDefault="009858F0" w:rsidP="00E419A5">
            <w:pPr>
              <w:pStyle w:val="TableRowText"/>
              <w:rPr>
                <w:lang w:val="cy-GB" w:eastAsia="cy-GB"/>
              </w:rPr>
            </w:pPr>
            <w:r w:rsidRPr="00394A5B">
              <w:rPr>
                <w:lang w:val="cy-GB" w:eastAsia="cy-GB"/>
              </w:rPr>
              <w:t>Merthyr Tydfil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C5AE9" w14:textId="58157920" w:rsidR="009858F0" w:rsidRPr="00394A5B" w:rsidRDefault="009858F0" w:rsidP="00E419A5">
            <w:pPr>
              <w:pStyle w:val="TableText"/>
            </w:pPr>
            <w:r w:rsidRPr="00394A5B">
              <w:t xml:space="preserve">        6,307,357 </w:t>
            </w:r>
          </w:p>
        </w:tc>
      </w:tr>
      <w:tr w:rsidR="00394A5B" w:rsidRPr="00394A5B" w14:paraId="3D3FBEA4" w14:textId="77777777" w:rsidTr="001E4877">
        <w:trPr>
          <w:trHeight w:val="300"/>
        </w:trPr>
        <w:tc>
          <w:tcPr>
            <w:tcW w:w="6961" w:type="dxa"/>
            <w:shd w:val="clear" w:color="000000" w:fill="FFFFFF"/>
            <w:noWrap/>
            <w:hideMark/>
          </w:tcPr>
          <w:p w14:paraId="54488D41" w14:textId="77777777" w:rsidR="009858F0" w:rsidRPr="00394A5B" w:rsidRDefault="009858F0" w:rsidP="00E419A5">
            <w:pPr>
              <w:pStyle w:val="TableRowText"/>
              <w:rPr>
                <w:lang w:val="cy-GB" w:eastAsia="cy-GB"/>
              </w:rPr>
            </w:pPr>
            <w:r w:rsidRPr="00394A5B">
              <w:rPr>
                <w:lang w:val="cy-GB" w:eastAsia="cy-GB"/>
              </w:rPr>
              <w:t>Caerphilly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FD372" w14:textId="58B81E97" w:rsidR="009858F0" w:rsidRPr="00394A5B" w:rsidRDefault="009858F0" w:rsidP="00E419A5">
            <w:pPr>
              <w:pStyle w:val="TableText"/>
            </w:pPr>
            <w:r w:rsidRPr="00394A5B">
              <w:t xml:space="preserve">      22,877,390 </w:t>
            </w:r>
          </w:p>
        </w:tc>
      </w:tr>
      <w:tr w:rsidR="00394A5B" w:rsidRPr="00394A5B" w14:paraId="679AA3F1" w14:textId="77777777" w:rsidTr="001E4877">
        <w:trPr>
          <w:trHeight w:val="300"/>
        </w:trPr>
        <w:tc>
          <w:tcPr>
            <w:tcW w:w="6961" w:type="dxa"/>
            <w:shd w:val="clear" w:color="000000" w:fill="FFFFFF"/>
            <w:noWrap/>
            <w:hideMark/>
          </w:tcPr>
          <w:p w14:paraId="518167BA" w14:textId="77777777" w:rsidR="009858F0" w:rsidRPr="00394A5B" w:rsidRDefault="009858F0" w:rsidP="00E419A5">
            <w:pPr>
              <w:pStyle w:val="TableRowText"/>
              <w:rPr>
                <w:lang w:val="cy-GB" w:eastAsia="cy-GB"/>
              </w:rPr>
            </w:pPr>
            <w:r w:rsidRPr="00394A5B">
              <w:rPr>
                <w:lang w:val="cy-GB" w:eastAsia="cy-GB"/>
              </w:rPr>
              <w:t>Blaenau Gwent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535B7" w14:textId="37F86F01" w:rsidR="009858F0" w:rsidRPr="00394A5B" w:rsidRDefault="009858F0" w:rsidP="00E419A5">
            <w:pPr>
              <w:pStyle w:val="TableText"/>
            </w:pPr>
            <w:r w:rsidRPr="00394A5B">
              <w:t xml:space="preserve">        8,699,331 </w:t>
            </w:r>
          </w:p>
        </w:tc>
      </w:tr>
      <w:tr w:rsidR="00394A5B" w:rsidRPr="00394A5B" w14:paraId="50A6078C" w14:textId="77777777" w:rsidTr="001E4877">
        <w:trPr>
          <w:trHeight w:val="300"/>
        </w:trPr>
        <w:tc>
          <w:tcPr>
            <w:tcW w:w="6961" w:type="dxa"/>
            <w:shd w:val="clear" w:color="000000" w:fill="FFFFFF"/>
            <w:noWrap/>
            <w:hideMark/>
          </w:tcPr>
          <w:p w14:paraId="32903522" w14:textId="77777777" w:rsidR="009858F0" w:rsidRPr="00394A5B" w:rsidRDefault="009858F0" w:rsidP="00E419A5">
            <w:pPr>
              <w:pStyle w:val="TableRowText"/>
              <w:rPr>
                <w:lang w:val="cy-GB" w:eastAsia="cy-GB"/>
              </w:rPr>
            </w:pPr>
            <w:r w:rsidRPr="00394A5B">
              <w:rPr>
                <w:lang w:val="cy-GB" w:eastAsia="cy-GB"/>
              </w:rPr>
              <w:t>Torfaen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3385C" w14:textId="07ECD94B" w:rsidR="009858F0" w:rsidRPr="00394A5B" w:rsidRDefault="009858F0" w:rsidP="00E419A5">
            <w:pPr>
              <w:pStyle w:val="TableText"/>
            </w:pPr>
            <w:r w:rsidRPr="00394A5B">
              <w:t xml:space="preserve">      10,332,507 </w:t>
            </w:r>
          </w:p>
        </w:tc>
      </w:tr>
      <w:tr w:rsidR="00394A5B" w:rsidRPr="00394A5B" w14:paraId="6ED3DD29" w14:textId="77777777" w:rsidTr="001E4877">
        <w:trPr>
          <w:trHeight w:val="300"/>
        </w:trPr>
        <w:tc>
          <w:tcPr>
            <w:tcW w:w="6961" w:type="dxa"/>
            <w:shd w:val="clear" w:color="000000" w:fill="FFFFFF"/>
            <w:noWrap/>
            <w:hideMark/>
          </w:tcPr>
          <w:p w14:paraId="0C7C75CE" w14:textId="77777777" w:rsidR="009858F0" w:rsidRPr="00394A5B" w:rsidRDefault="009858F0" w:rsidP="00E419A5">
            <w:pPr>
              <w:pStyle w:val="TableRowText"/>
              <w:rPr>
                <w:lang w:val="cy-GB" w:eastAsia="cy-GB"/>
              </w:rPr>
            </w:pPr>
            <w:r w:rsidRPr="00394A5B">
              <w:rPr>
                <w:lang w:val="cy-GB" w:eastAsia="cy-GB"/>
              </w:rPr>
              <w:t>Monmouthshire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0218D" w14:textId="7CD9D98C" w:rsidR="009858F0" w:rsidRPr="00394A5B" w:rsidRDefault="009858F0" w:rsidP="00E419A5">
            <w:pPr>
              <w:pStyle w:val="TableText"/>
            </w:pPr>
            <w:r w:rsidRPr="00394A5B">
              <w:t xml:space="preserve">        8,946,613 </w:t>
            </w:r>
          </w:p>
        </w:tc>
      </w:tr>
      <w:tr w:rsidR="00394A5B" w:rsidRPr="00394A5B" w14:paraId="2F4BFAFE" w14:textId="77777777" w:rsidTr="001E4877">
        <w:trPr>
          <w:trHeight w:val="300"/>
        </w:trPr>
        <w:tc>
          <w:tcPr>
            <w:tcW w:w="6961" w:type="dxa"/>
            <w:tcBorders>
              <w:bottom w:val="nil"/>
            </w:tcBorders>
            <w:shd w:val="clear" w:color="000000" w:fill="FFFFFF"/>
            <w:noWrap/>
            <w:hideMark/>
          </w:tcPr>
          <w:p w14:paraId="50D85DE9" w14:textId="77777777" w:rsidR="009858F0" w:rsidRPr="00394A5B" w:rsidRDefault="009858F0" w:rsidP="00E419A5">
            <w:pPr>
              <w:pStyle w:val="TableRowText"/>
              <w:rPr>
                <w:lang w:val="cy-GB" w:eastAsia="cy-GB"/>
              </w:rPr>
            </w:pPr>
            <w:r w:rsidRPr="00394A5B">
              <w:rPr>
                <w:lang w:val="cy-GB" w:eastAsia="cy-GB"/>
              </w:rPr>
              <w:t>Newport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7A2C4" w14:textId="453A43F0" w:rsidR="009858F0" w:rsidRPr="00394A5B" w:rsidRDefault="009858F0" w:rsidP="00E419A5">
            <w:pPr>
              <w:pStyle w:val="TableText"/>
            </w:pPr>
            <w:r w:rsidRPr="00394A5B">
              <w:t xml:space="preserve">      21,293,508 </w:t>
            </w:r>
          </w:p>
        </w:tc>
      </w:tr>
      <w:tr w:rsidR="00394A5B" w:rsidRPr="00394A5B" w14:paraId="44EAA1BA" w14:textId="77777777" w:rsidTr="001E4877">
        <w:trPr>
          <w:trHeight w:val="300"/>
        </w:trPr>
        <w:tc>
          <w:tcPr>
            <w:tcW w:w="6961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hideMark/>
          </w:tcPr>
          <w:p w14:paraId="10E8A82F" w14:textId="77777777" w:rsidR="009858F0" w:rsidRPr="00394A5B" w:rsidRDefault="009858F0" w:rsidP="00E419A5">
            <w:pPr>
              <w:pStyle w:val="TableRowText"/>
              <w:rPr>
                <w:lang w:val="cy-GB" w:eastAsia="cy-GB"/>
              </w:rPr>
            </w:pPr>
            <w:r w:rsidRPr="00394A5B">
              <w:rPr>
                <w:lang w:val="cy-GB" w:eastAsia="cy-GB"/>
              </w:rPr>
              <w:t>Cardiff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8D89C" w14:textId="16F3FB7C" w:rsidR="009858F0" w:rsidRPr="00394A5B" w:rsidRDefault="009858F0" w:rsidP="00E419A5">
            <w:pPr>
              <w:pStyle w:val="TableText"/>
            </w:pPr>
            <w:r w:rsidRPr="00394A5B">
              <w:t xml:space="preserve">      31,330,378 </w:t>
            </w:r>
          </w:p>
        </w:tc>
      </w:tr>
      <w:tr w:rsidR="00394A5B" w:rsidRPr="00394A5B" w14:paraId="79455E67" w14:textId="77777777" w:rsidTr="001E4877">
        <w:trPr>
          <w:trHeight w:val="315"/>
        </w:trPr>
        <w:tc>
          <w:tcPr>
            <w:tcW w:w="696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hideMark/>
          </w:tcPr>
          <w:p w14:paraId="5EE92DF0" w14:textId="77777777" w:rsidR="007553B0" w:rsidRPr="00394A5B" w:rsidRDefault="007553B0" w:rsidP="00E419A5">
            <w:pPr>
              <w:pStyle w:val="TableRowText"/>
              <w:rPr>
                <w:lang w:val="cy-GB" w:eastAsia="cy-GB"/>
              </w:rPr>
            </w:pPr>
            <w:r w:rsidRPr="00394A5B">
              <w:rPr>
                <w:b/>
                <w:bCs/>
                <w:lang w:val="cy-GB" w:eastAsia="cy-GB"/>
              </w:rPr>
              <w:t>Wales</w:t>
            </w:r>
            <w:r w:rsidRPr="00394A5B">
              <w:rPr>
                <w:b/>
                <w:bCs/>
                <w:vertAlign w:val="superscript"/>
                <w:lang w:val="cy-GB" w:eastAsia="cy-GB"/>
              </w:rPr>
              <w:footnoteReference w:id="6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42B14" w14:textId="0166447F" w:rsidR="007553B0" w:rsidRPr="00394A5B" w:rsidRDefault="007553B0" w:rsidP="00E419A5">
            <w:pPr>
              <w:pStyle w:val="TableText"/>
              <w:rPr>
                <w:b/>
                <w:bCs/>
                <w:i/>
                <w:highlight w:val="yellow"/>
                <w:lang w:val="cy-GB" w:eastAsia="cy-GB"/>
              </w:rPr>
            </w:pPr>
            <w:r w:rsidRPr="00394A5B">
              <w:rPr>
                <w:b/>
                <w:bCs/>
              </w:rPr>
              <w:t>349,802</w:t>
            </w:r>
            <w:r w:rsidR="00ED26F0" w:rsidRPr="00394A5B">
              <w:rPr>
                <w:b/>
                <w:bCs/>
              </w:rPr>
              <w:t>,</w:t>
            </w:r>
            <w:r w:rsidRPr="00394A5B">
              <w:rPr>
                <w:b/>
                <w:bCs/>
              </w:rPr>
              <w:t>28</w:t>
            </w:r>
            <w:r w:rsidR="009858F0" w:rsidRPr="00394A5B">
              <w:rPr>
                <w:b/>
                <w:bCs/>
              </w:rPr>
              <w:t>2</w:t>
            </w:r>
          </w:p>
        </w:tc>
      </w:tr>
    </w:tbl>
    <w:p w14:paraId="754381D6" w14:textId="0909E802" w:rsidR="002378D6" w:rsidRPr="00394A5B" w:rsidRDefault="00664DC6" w:rsidP="00076E09">
      <w:pPr>
        <w:pStyle w:val="Heading4"/>
        <w:jc w:val="left"/>
        <w:rPr>
          <w:b/>
          <w:bCs/>
        </w:rPr>
      </w:pPr>
      <w:r w:rsidRPr="00394A5B">
        <w:br w:type="page"/>
      </w:r>
      <w:r w:rsidR="002378D6" w:rsidRPr="00394A5B">
        <w:rPr>
          <w:b/>
          <w:bCs/>
        </w:rPr>
        <w:t xml:space="preserve">Notes to </w:t>
      </w:r>
      <w:r w:rsidR="00394A5B">
        <w:rPr>
          <w:b/>
          <w:bCs/>
        </w:rPr>
        <w:t>Table </w:t>
      </w:r>
      <w:r w:rsidR="002378D6" w:rsidRPr="00394A5B">
        <w:rPr>
          <w:b/>
          <w:bCs/>
        </w:rPr>
        <w:t>2</w:t>
      </w:r>
    </w:p>
    <w:p w14:paraId="51621686" w14:textId="16CD9526" w:rsidR="002378D6" w:rsidRPr="00394A5B" w:rsidRDefault="00394A5B" w:rsidP="003D4E26">
      <w:pPr>
        <w:pStyle w:val="BodyText"/>
        <w:widowControl w:val="0"/>
        <w:rPr>
          <w:rFonts w:cs="Arial"/>
        </w:rPr>
      </w:pPr>
      <w:r>
        <w:rPr>
          <w:rFonts w:cs="Arial"/>
        </w:rPr>
        <w:t>The </w:t>
      </w:r>
      <w:r w:rsidR="002378D6" w:rsidRPr="00394A5B">
        <w:rPr>
          <w:rFonts w:cs="Arial"/>
        </w:rPr>
        <w:t>sum shown for each counci</w:t>
      </w:r>
      <w:r w:rsidR="00782621" w:rsidRPr="00394A5B">
        <w:rPr>
          <w:rFonts w:cs="Arial"/>
        </w:rPr>
        <w:t xml:space="preserve">l comprises </w:t>
      </w:r>
      <w:r w:rsidR="00685827">
        <w:rPr>
          <w:rFonts w:cs="Arial"/>
        </w:rPr>
        <w:t>the </w:t>
      </w:r>
      <w:r w:rsidR="00782621" w:rsidRPr="00394A5B">
        <w:rPr>
          <w:rFonts w:cs="Arial"/>
        </w:rPr>
        <w:t>following items.</w:t>
      </w:r>
    </w:p>
    <w:p w14:paraId="14C90F30" w14:textId="07A090FE" w:rsidR="002378D6" w:rsidRPr="00394A5B" w:rsidRDefault="002378D6" w:rsidP="00D9375C">
      <w:pPr>
        <w:pStyle w:val="BodyText"/>
        <w:widowControl w:val="0"/>
        <w:numPr>
          <w:ilvl w:val="0"/>
          <w:numId w:val="18"/>
        </w:numPr>
        <w:tabs>
          <w:tab w:val="clear" w:pos="720"/>
        </w:tabs>
        <w:ind w:left="567" w:hanging="567"/>
        <w:rPr>
          <w:rFonts w:cs="Arial"/>
        </w:rPr>
      </w:pPr>
      <w:r w:rsidRPr="00394A5B">
        <w:rPr>
          <w:rFonts w:cs="Arial"/>
        </w:rPr>
        <w:t xml:space="preserve">An adjustment in respect of </w:t>
      </w:r>
      <w:r w:rsidR="00685827">
        <w:rPr>
          <w:rFonts w:cs="Arial"/>
        </w:rPr>
        <w:t>the </w:t>
      </w:r>
      <w:r w:rsidRPr="00394A5B">
        <w:rPr>
          <w:rFonts w:cs="Arial"/>
        </w:rPr>
        <w:t>boundary changes that took place on 1 April 2005</w:t>
      </w:r>
      <w:r w:rsidRPr="00394A5B">
        <w:rPr>
          <w:rStyle w:val="FootnoteReference"/>
          <w:rFonts w:cs="Arial"/>
        </w:rPr>
        <w:footnoteReference w:id="7"/>
      </w:r>
      <w:r w:rsidRPr="00394A5B">
        <w:rPr>
          <w:rFonts w:cs="Arial"/>
        </w:rPr>
        <w:t xml:space="preserve">, based on </w:t>
      </w:r>
      <w:r w:rsidR="00685827">
        <w:rPr>
          <w:rFonts w:cs="Arial"/>
        </w:rPr>
        <w:t>the </w:t>
      </w:r>
      <w:r w:rsidRPr="00394A5B">
        <w:rPr>
          <w:rFonts w:cs="Arial"/>
        </w:rPr>
        <w:t xml:space="preserve">transfers of total resident population between </w:t>
      </w:r>
      <w:r w:rsidR="00685827">
        <w:rPr>
          <w:rFonts w:cs="Arial"/>
        </w:rPr>
        <w:t>the </w:t>
      </w:r>
      <w:r w:rsidRPr="00394A5B">
        <w:rPr>
          <w:rFonts w:cs="Arial"/>
        </w:rPr>
        <w:t xml:space="preserve">areas affected as estimated using information from </w:t>
      </w:r>
      <w:r w:rsidR="00685827">
        <w:rPr>
          <w:rFonts w:cs="Arial"/>
        </w:rPr>
        <w:t>the </w:t>
      </w:r>
      <w:r w:rsidRPr="00394A5B">
        <w:rPr>
          <w:rFonts w:cs="Arial"/>
        </w:rPr>
        <w:t>2001 Population Census</w:t>
      </w:r>
      <w:r w:rsidR="00885552" w:rsidRPr="00394A5B">
        <w:rPr>
          <w:rFonts w:cs="Arial"/>
        </w:rPr>
        <w:t>.</w:t>
      </w:r>
    </w:p>
    <w:p w14:paraId="039A2CE4" w14:textId="77777777" w:rsidR="00E419A5" w:rsidRDefault="002378D6" w:rsidP="00D9375C">
      <w:pPr>
        <w:pStyle w:val="BodyText"/>
        <w:widowControl w:val="0"/>
        <w:numPr>
          <w:ilvl w:val="0"/>
          <w:numId w:val="18"/>
        </w:numPr>
        <w:tabs>
          <w:tab w:val="clear" w:pos="720"/>
        </w:tabs>
        <w:ind w:left="567" w:hanging="567"/>
        <w:rPr>
          <w:rFonts w:cs="Arial"/>
        </w:rPr>
      </w:pPr>
      <w:r w:rsidRPr="00394A5B">
        <w:rPr>
          <w:rFonts w:cs="Arial"/>
        </w:rPr>
        <w:t xml:space="preserve">Debt financing component of SSAs for </w:t>
      </w:r>
      <w:r w:rsidR="002C1209" w:rsidRPr="00394A5B">
        <w:rPr>
          <w:rFonts w:cs="Arial"/>
        </w:rPr>
        <w:t>C</w:t>
      </w:r>
      <w:r w:rsidRPr="00394A5B">
        <w:rPr>
          <w:rFonts w:cs="Arial"/>
        </w:rPr>
        <w:t>ouncils</w:t>
      </w:r>
      <w:r w:rsidR="00885552" w:rsidRPr="00394A5B">
        <w:rPr>
          <w:rFonts w:cs="Arial"/>
        </w:rPr>
        <w:t xml:space="preserve">.  </w:t>
      </w:r>
      <w:r w:rsidR="00394A5B">
        <w:rPr>
          <w:rFonts w:cs="Arial"/>
        </w:rPr>
        <w:t>The </w:t>
      </w:r>
      <w:r w:rsidRPr="00394A5B">
        <w:rPr>
          <w:rFonts w:cs="Arial"/>
        </w:rPr>
        <w:t xml:space="preserve">components of debt financing are repayments and interest </w:t>
      </w:r>
      <w:r w:rsidR="00716961" w:rsidRPr="00394A5B">
        <w:rPr>
          <w:rFonts w:cs="Arial"/>
        </w:rPr>
        <w:t>for pre- and post-31/0</w:t>
      </w:r>
      <w:r w:rsidR="00ED26F0" w:rsidRPr="00394A5B">
        <w:rPr>
          <w:rFonts w:cs="Arial"/>
        </w:rPr>
        <w:t>3</w:t>
      </w:r>
      <w:r w:rsidR="00716961" w:rsidRPr="00394A5B">
        <w:rPr>
          <w:rFonts w:cs="Arial"/>
        </w:rPr>
        <w:t>/04 debt</w:t>
      </w:r>
      <w:r w:rsidRPr="00394A5B">
        <w:rPr>
          <w:rFonts w:cs="Arial"/>
        </w:rPr>
        <w:t xml:space="preserve"> and a reduction in respect of capital financing grants</w:t>
      </w:r>
      <w:r w:rsidR="00885552" w:rsidRPr="00394A5B">
        <w:rPr>
          <w:rFonts w:cs="Arial"/>
        </w:rPr>
        <w:t xml:space="preserve">.  </w:t>
      </w:r>
      <w:r w:rsidR="00394A5B">
        <w:rPr>
          <w:rFonts w:cs="Arial"/>
        </w:rPr>
        <w:t>The </w:t>
      </w:r>
      <w:r w:rsidRPr="00394A5B">
        <w:rPr>
          <w:rFonts w:cs="Arial"/>
        </w:rPr>
        <w:t xml:space="preserve">rate of repayment assumed is </w:t>
      </w:r>
      <w:r w:rsidR="0080370D" w:rsidRPr="00394A5B">
        <w:rPr>
          <w:rFonts w:cs="Arial"/>
        </w:rPr>
        <w:t xml:space="preserve">at </w:t>
      </w:r>
      <w:r w:rsidRPr="00394A5B">
        <w:rPr>
          <w:rFonts w:cs="Arial"/>
        </w:rPr>
        <w:t xml:space="preserve">4 per cent and </w:t>
      </w:r>
      <w:r w:rsidR="00685827">
        <w:rPr>
          <w:rFonts w:cs="Arial"/>
        </w:rPr>
        <w:t>the </w:t>
      </w:r>
      <w:r w:rsidRPr="00394A5B">
        <w:rPr>
          <w:rFonts w:cs="Arial"/>
        </w:rPr>
        <w:t xml:space="preserve">rate of interest used is </w:t>
      </w:r>
      <w:r w:rsidR="00685827">
        <w:rPr>
          <w:rFonts w:cs="Arial"/>
        </w:rPr>
        <w:t>the </w:t>
      </w:r>
      <w:r w:rsidRPr="00394A5B">
        <w:rPr>
          <w:rFonts w:cs="Arial"/>
        </w:rPr>
        <w:t>pool rate of interest for</w:t>
      </w:r>
      <w:r w:rsidR="009312EB" w:rsidRPr="00394A5B">
        <w:rPr>
          <w:rFonts w:cs="Arial"/>
        </w:rPr>
        <w:t xml:space="preserve"> </w:t>
      </w:r>
      <w:r w:rsidR="002D13FC" w:rsidRPr="00394A5B">
        <w:rPr>
          <w:rFonts w:cs="Arial"/>
        </w:rPr>
        <w:t>202</w:t>
      </w:r>
      <w:r w:rsidR="007553B0" w:rsidRPr="00394A5B">
        <w:rPr>
          <w:rFonts w:cs="Arial"/>
        </w:rPr>
        <w:t>2</w:t>
      </w:r>
      <w:r w:rsidR="001D6517" w:rsidRPr="00394A5B">
        <w:rPr>
          <w:rFonts w:cs="Arial"/>
        </w:rPr>
        <w:t>-</w:t>
      </w:r>
      <w:r w:rsidR="00D0625D" w:rsidRPr="00394A5B">
        <w:rPr>
          <w:rFonts w:cs="Arial"/>
        </w:rPr>
        <w:t>2</w:t>
      </w:r>
      <w:r w:rsidR="007553B0" w:rsidRPr="00394A5B">
        <w:rPr>
          <w:rFonts w:cs="Arial"/>
        </w:rPr>
        <w:t>3</w:t>
      </w:r>
      <w:r w:rsidRPr="00394A5B">
        <w:rPr>
          <w:rFonts w:cs="Arial"/>
        </w:rPr>
        <w:t xml:space="preserve">, which is calculated at </w:t>
      </w:r>
      <w:r w:rsidR="007553B0" w:rsidRPr="00394A5B">
        <w:rPr>
          <w:rFonts w:cs="Arial"/>
        </w:rPr>
        <w:t>6.6</w:t>
      </w:r>
      <w:r w:rsidR="0080370D" w:rsidRPr="00394A5B">
        <w:rPr>
          <w:rFonts w:cs="Arial"/>
        </w:rPr>
        <w:t xml:space="preserve"> per cent</w:t>
      </w:r>
      <w:r w:rsidR="00885552" w:rsidRPr="00394A5B">
        <w:rPr>
          <w:rFonts w:cs="Arial"/>
        </w:rPr>
        <w:t xml:space="preserve">.  </w:t>
      </w:r>
      <w:r w:rsidRPr="00394A5B">
        <w:rPr>
          <w:rFonts w:cs="Arial"/>
        </w:rPr>
        <w:t xml:space="preserve">A detailed description of </w:t>
      </w:r>
      <w:r w:rsidR="00685827">
        <w:rPr>
          <w:rFonts w:cs="Arial"/>
        </w:rPr>
        <w:t>the </w:t>
      </w:r>
      <w:r w:rsidRPr="00394A5B">
        <w:rPr>
          <w:rFonts w:cs="Arial"/>
        </w:rPr>
        <w:t>calculation is given in paragraphs (a) to (f) below.</w:t>
      </w:r>
    </w:p>
    <w:p w14:paraId="3BCD903D" w14:textId="77777777" w:rsidR="00E419A5" w:rsidRDefault="002378D6" w:rsidP="00D9375C">
      <w:pPr>
        <w:pStyle w:val="BodyText"/>
        <w:widowControl w:val="0"/>
        <w:ind w:left="567"/>
        <w:rPr>
          <w:rFonts w:cs="Arial"/>
        </w:rPr>
      </w:pPr>
      <w:r w:rsidRPr="00394A5B">
        <w:rPr>
          <w:rFonts w:cs="Arial"/>
        </w:rPr>
        <w:t xml:space="preserve">Note: In paragraphs (a) to (f) wherever information is only available for areas other than </w:t>
      </w:r>
      <w:r w:rsidR="00685827">
        <w:rPr>
          <w:rFonts w:cs="Arial"/>
        </w:rPr>
        <w:t>the </w:t>
      </w:r>
      <w:r w:rsidRPr="00394A5B">
        <w:rPr>
          <w:rFonts w:cs="Arial"/>
        </w:rPr>
        <w:t xml:space="preserve">areas of </w:t>
      </w:r>
      <w:r w:rsidR="00685827">
        <w:rPr>
          <w:rFonts w:cs="Arial"/>
        </w:rPr>
        <w:t>the </w:t>
      </w:r>
      <w:r w:rsidR="002C1209" w:rsidRPr="00394A5B">
        <w:rPr>
          <w:rFonts w:cs="Arial"/>
        </w:rPr>
        <w:t>C</w:t>
      </w:r>
      <w:r w:rsidRPr="00394A5B">
        <w:rPr>
          <w:rFonts w:cs="Arial"/>
        </w:rPr>
        <w:t xml:space="preserve">ouncils, it is apportioned to </w:t>
      </w:r>
      <w:r w:rsidR="00685827">
        <w:rPr>
          <w:rFonts w:cs="Arial"/>
        </w:rPr>
        <w:t>the </w:t>
      </w:r>
      <w:r w:rsidR="002C1209" w:rsidRPr="00394A5B">
        <w:rPr>
          <w:rFonts w:cs="Arial"/>
        </w:rPr>
        <w:t>C</w:t>
      </w:r>
      <w:r w:rsidRPr="00394A5B">
        <w:rPr>
          <w:rFonts w:cs="Arial"/>
        </w:rPr>
        <w:t xml:space="preserve">ouncils on </w:t>
      </w:r>
      <w:r w:rsidR="00685827">
        <w:rPr>
          <w:rFonts w:cs="Arial"/>
        </w:rPr>
        <w:t>the </w:t>
      </w:r>
      <w:r w:rsidRPr="00394A5B">
        <w:rPr>
          <w:rFonts w:cs="Arial"/>
        </w:rPr>
        <w:t xml:space="preserve">basis of </w:t>
      </w:r>
      <w:r w:rsidR="00685827">
        <w:rPr>
          <w:rFonts w:cs="Arial"/>
        </w:rPr>
        <w:t>the </w:t>
      </w:r>
      <w:r w:rsidRPr="00394A5B">
        <w:rPr>
          <w:rFonts w:cs="Arial"/>
        </w:rPr>
        <w:t xml:space="preserve">number of persons at 30 June of </w:t>
      </w:r>
      <w:r w:rsidR="00685827">
        <w:rPr>
          <w:rFonts w:cs="Arial"/>
        </w:rPr>
        <w:t>the </w:t>
      </w:r>
      <w:r w:rsidRPr="00394A5B">
        <w:rPr>
          <w:rFonts w:cs="Arial"/>
        </w:rPr>
        <w:t xml:space="preserve">year in question, estimated by </w:t>
      </w:r>
      <w:r w:rsidR="00685827">
        <w:rPr>
          <w:rFonts w:cs="Arial"/>
        </w:rPr>
        <w:t>the </w:t>
      </w:r>
      <w:r w:rsidRPr="00394A5B">
        <w:rPr>
          <w:rFonts w:cs="Arial"/>
        </w:rPr>
        <w:t xml:space="preserve">Registrar General as usually resident in </w:t>
      </w:r>
      <w:r w:rsidR="00685827">
        <w:rPr>
          <w:rFonts w:cs="Arial"/>
        </w:rPr>
        <w:t>the </w:t>
      </w:r>
      <w:r w:rsidRPr="00394A5B">
        <w:rPr>
          <w:rFonts w:cs="Arial"/>
        </w:rPr>
        <w:t xml:space="preserve">areas concerned, except where different apportionments have been agreed between specific </w:t>
      </w:r>
      <w:r w:rsidR="002C1209" w:rsidRPr="00394A5B">
        <w:rPr>
          <w:rFonts w:cs="Arial"/>
        </w:rPr>
        <w:t>C</w:t>
      </w:r>
      <w:r w:rsidRPr="00394A5B">
        <w:rPr>
          <w:rFonts w:cs="Arial"/>
        </w:rPr>
        <w:t xml:space="preserve">ouncils (as notified </w:t>
      </w:r>
      <w:r w:rsidR="003265D9" w:rsidRPr="00394A5B">
        <w:rPr>
          <w:rFonts w:cs="Arial"/>
        </w:rPr>
        <w:t xml:space="preserve">by </w:t>
      </w:r>
      <w:r w:rsidR="00685827">
        <w:rPr>
          <w:rFonts w:cs="Arial"/>
        </w:rPr>
        <w:t>the </w:t>
      </w:r>
      <w:r w:rsidR="003265D9" w:rsidRPr="00394A5B">
        <w:rPr>
          <w:rFonts w:cs="Arial"/>
        </w:rPr>
        <w:t>Welsh</w:t>
      </w:r>
      <w:r w:rsidRPr="00394A5B">
        <w:rPr>
          <w:rFonts w:cs="Arial"/>
        </w:rPr>
        <w:t xml:space="preserve"> Government).</w:t>
      </w:r>
    </w:p>
    <w:p w14:paraId="5A5991B3" w14:textId="00007AF0" w:rsidR="00E419A5" w:rsidRDefault="00394A5B" w:rsidP="00D9375C">
      <w:pPr>
        <w:pStyle w:val="BodyText"/>
        <w:widowControl w:val="0"/>
        <w:numPr>
          <w:ilvl w:val="0"/>
          <w:numId w:val="42"/>
        </w:numPr>
        <w:ind w:left="993" w:hanging="425"/>
        <w:rPr>
          <w:rFonts w:cs="Arial"/>
        </w:rPr>
      </w:pPr>
      <w:r>
        <w:rPr>
          <w:rFonts w:cs="Arial"/>
        </w:rPr>
        <w:t>The </w:t>
      </w:r>
      <w:r w:rsidR="002378D6" w:rsidRPr="00394A5B">
        <w:rPr>
          <w:rFonts w:cs="Arial"/>
        </w:rPr>
        <w:t xml:space="preserve">amount of </w:t>
      </w:r>
      <w:r w:rsidR="00685827">
        <w:rPr>
          <w:rFonts w:cs="Arial"/>
        </w:rPr>
        <w:t>the </w:t>
      </w:r>
      <w:r w:rsidR="002378D6" w:rsidRPr="00394A5B">
        <w:rPr>
          <w:rFonts w:cs="Arial"/>
        </w:rPr>
        <w:t xml:space="preserve">notional credit ceiling in any one year is based upon that set out on </w:t>
      </w:r>
      <w:r w:rsidR="00685827">
        <w:rPr>
          <w:rFonts w:cs="Arial"/>
        </w:rPr>
        <w:t>the </w:t>
      </w:r>
      <w:r w:rsidR="002378D6" w:rsidRPr="00394A5B">
        <w:rPr>
          <w:rFonts w:cs="Arial"/>
        </w:rPr>
        <w:t xml:space="preserve">Capital Outturn Return forms for 31 March 2004 reported during 2005 for </w:t>
      </w:r>
      <w:r w:rsidR="00685827">
        <w:rPr>
          <w:rFonts w:cs="Arial"/>
        </w:rPr>
        <w:t>the </w:t>
      </w:r>
      <w:r w:rsidR="002C1209" w:rsidRPr="00394A5B">
        <w:rPr>
          <w:rFonts w:cs="Arial"/>
        </w:rPr>
        <w:t>C</w:t>
      </w:r>
      <w:r w:rsidR="002378D6" w:rsidRPr="00394A5B">
        <w:rPr>
          <w:rFonts w:cs="Arial"/>
        </w:rPr>
        <w:t>ouncils and fire authorities</w:t>
      </w:r>
      <w:r w:rsidR="00885552" w:rsidRPr="00394A5B">
        <w:rPr>
          <w:rFonts w:cs="Arial"/>
        </w:rPr>
        <w:t xml:space="preserve">.  </w:t>
      </w:r>
      <w:r>
        <w:rPr>
          <w:rFonts w:cs="Arial"/>
        </w:rPr>
        <w:t>The </w:t>
      </w:r>
      <w:r w:rsidR="002378D6" w:rsidRPr="00394A5B">
        <w:rPr>
          <w:rFonts w:cs="Arial"/>
        </w:rPr>
        <w:t xml:space="preserve">assumed credit ceilings are given in </w:t>
      </w:r>
      <w:r>
        <w:rPr>
          <w:rFonts w:cs="Arial"/>
        </w:rPr>
        <w:t>Table </w:t>
      </w:r>
      <w:r w:rsidR="002378D6" w:rsidRPr="00394A5B">
        <w:rPr>
          <w:rFonts w:cs="Arial"/>
        </w:rPr>
        <w:t>3</w:t>
      </w:r>
      <w:r w:rsidR="00885552" w:rsidRPr="00394A5B">
        <w:rPr>
          <w:rFonts w:cs="Arial"/>
        </w:rPr>
        <w:t xml:space="preserve">.  </w:t>
      </w:r>
      <w:r w:rsidR="002378D6" w:rsidRPr="00394A5B">
        <w:rPr>
          <w:rFonts w:cs="Arial"/>
        </w:rPr>
        <w:t xml:space="preserve">An adjustment is made for two year supplementary credit approvals not wholly taken up in </w:t>
      </w:r>
      <w:r w:rsidR="00685827">
        <w:rPr>
          <w:rFonts w:cs="Arial"/>
        </w:rPr>
        <w:t>the </w:t>
      </w:r>
      <w:r w:rsidR="002378D6" w:rsidRPr="00394A5B">
        <w:rPr>
          <w:rFonts w:cs="Arial"/>
        </w:rPr>
        <w:t xml:space="preserve">first year of issue and notified to </w:t>
      </w:r>
      <w:r w:rsidR="00685827">
        <w:rPr>
          <w:rFonts w:cs="Arial"/>
        </w:rPr>
        <w:t>the </w:t>
      </w:r>
      <w:r w:rsidR="00E419A5">
        <w:rPr>
          <w:rFonts w:cs="Arial"/>
        </w:rPr>
        <w:t>National Assembly.</w:t>
      </w:r>
    </w:p>
    <w:p w14:paraId="0058657B" w14:textId="629A8638" w:rsidR="002378D6" w:rsidRPr="00394A5B" w:rsidRDefault="002378D6" w:rsidP="00D9375C">
      <w:pPr>
        <w:pStyle w:val="BodyText"/>
        <w:widowControl w:val="0"/>
        <w:numPr>
          <w:ilvl w:val="0"/>
          <w:numId w:val="42"/>
        </w:numPr>
        <w:ind w:left="993" w:hanging="425"/>
        <w:rPr>
          <w:rFonts w:cs="Arial"/>
        </w:rPr>
      </w:pPr>
      <w:r w:rsidRPr="00394A5B">
        <w:rPr>
          <w:rFonts w:cs="Arial"/>
        </w:rPr>
        <w:t>Councils are assumed to repay 4</w:t>
      </w:r>
      <w:r w:rsidR="0080370D" w:rsidRPr="00394A5B">
        <w:rPr>
          <w:rFonts w:cs="Arial"/>
        </w:rPr>
        <w:t xml:space="preserve"> per cent</w:t>
      </w:r>
      <w:r w:rsidRPr="00394A5B">
        <w:rPr>
          <w:rFonts w:cs="Arial"/>
        </w:rPr>
        <w:t xml:space="preserve"> of any notional credit ceiling as at </w:t>
      </w:r>
      <w:r w:rsidR="00685827">
        <w:rPr>
          <w:rFonts w:cs="Arial"/>
        </w:rPr>
        <w:t>the </w:t>
      </w:r>
      <w:r w:rsidRPr="00394A5B">
        <w:rPr>
          <w:rFonts w:cs="Arial"/>
        </w:rPr>
        <w:t xml:space="preserve">start of </w:t>
      </w:r>
      <w:r w:rsidR="00685827">
        <w:rPr>
          <w:rFonts w:cs="Arial"/>
        </w:rPr>
        <w:t>the </w:t>
      </w:r>
      <w:r w:rsidRPr="00394A5B">
        <w:rPr>
          <w:rFonts w:cs="Arial"/>
        </w:rPr>
        <w:t>settlement year on a reducing balance basis</w:t>
      </w:r>
      <w:r w:rsidR="00885552" w:rsidRPr="00394A5B">
        <w:rPr>
          <w:rFonts w:cs="Arial"/>
        </w:rPr>
        <w:t xml:space="preserve">.  </w:t>
      </w:r>
      <w:r w:rsidRPr="00394A5B">
        <w:rPr>
          <w:rFonts w:cs="Arial"/>
        </w:rPr>
        <w:t xml:space="preserve">New debt is added to </w:t>
      </w:r>
      <w:r w:rsidR="00685827">
        <w:rPr>
          <w:rFonts w:cs="Arial"/>
        </w:rPr>
        <w:t>the </w:t>
      </w:r>
      <w:r w:rsidRPr="00394A5B">
        <w:rPr>
          <w:rFonts w:cs="Arial"/>
        </w:rPr>
        <w:t xml:space="preserve">notional credit ceiling in each year equivalent to each </w:t>
      </w:r>
      <w:r w:rsidR="002C1209" w:rsidRPr="00394A5B">
        <w:rPr>
          <w:rFonts w:cs="Arial"/>
        </w:rPr>
        <w:t>Council’s</w:t>
      </w:r>
      <w:r w:rsidRPr="00394A5B">
        <w:rPr>
          <w:rFonts w:cs="Arial"/>
        </w:rPr>
        <w:t xml:space="preserve"> allocation of supported borrowing for </w:t>
      </w:r>
      <w:r w:rsidR="00685827">
        <w:rPr>
          <w:rFonts w:cs="Arial"/>
        </w:rPr>
        <w:t>the </w:t>
      </w:r>
      <w:r w:rsidRPr="00394A5B">
        <w:rPr>
          <w:rFonts w:cs="Arial"/>
        </w:rPr>
        <w:t xml:space="preserve">relevant year available to </w:t>
      </w:r>
      <w:r w:rsidR="00685827">
        <w:rPr>
          <w:rFonts w:cs="Arial"/>
        </w:rPr>
        <w:t>the </w:t>
      </w:r>
      <w:r w:rsidRPr="00394A5B">
        <w:rPr>
          <w:rFonts w:cs="Arial"/>
        </w:rPr>
        <w:t>Welsh Ministers when their calculations were made</w:t>
      </w:r>
      <w:r w:rsidR="00885552" w:rsidRPr="00394A5B">
        <w:rPr>
          <w:rFonts w:cs="Arial"/>
        </w:rPr>
        <w:t xml:space="preserve">.  </w:t>
      </w:r>
      <w:r w:rsidRPr="00394A5B">
        <w:rPr>
          <w:rFonts w:cs="Arial"/>
        </w:rPr>
        <w:t xml:space="preserve">This method of rolling forward </w:t>
      </w:r>
      <w:r w:rsidR="00685827">
        <w:rPr>
          <w:rFonts w:cs="Arial"/>
        </w:rPr>
        <w:t>the </w:t>
      </w:r>
      <w:r w:rsidRPr="00394A5B">
        <w:rPr>
          <w:rFonts w:cs="Arial"/>
        </w:rPr>
        <w:t>notional ceil</w:t>
      </w:r>
      <w:r w:rsidR="009F467F" w:rsidRPr="00394A5B">
        <w:rPr>
          <w:rFonts w:cs="Arial"/>
        </w:rPr>
        <w:t>ing is set out in Distribution S</w:t>
      </w:r>
      <w:r w:rsidRPr="00394A5B">
        <w:rPr>
          <w:rFonts w:cs="Arial"/>
        </w:rPr>
        <w:t xml:space="preserve">ub </w:t>
      </w:r>
      <w:r w:rsidR="009F467F" w:rsidRPr="00394A5B">
        <w:rPr>
          <w:rFonts w:cs="Arial"/>
        </w:rPr>
        <w:t>G</w:t>
      </w:r>
      <w:r w:rsidRPr="00394A5B">
        <w:rPr>
          <w:rFonts w:cs="Arial"/>
        </w:rPr>
        <w:t>roup paper 26 (2009)</w:t>
      </w:r>
      <w:r w:rsidR="00885552" w:rsidRPr="00394A5B">
        <w:rPr>
          <w:rFonts w:cs="Arial"/>
        </w:rPr>
        <w:t>.</w:t>
      </w:r>
    </w:p>
    <w:p w14:paraId="71D62B4B" w14:textId="77777777" w:rsidR="00E419A5" w:rsidRDefault="002378D6" w:rsidP="00D9375C">
      <w:pPr>
        <w:pStyle w:val="BodyText"/>
        <w:widowControl w:val="0"/>
        <w:numPr>
          <w:ilvl w:val="0"/>
          <w:numId w:val="42"/>
        </w:numPr>
        <w:ind w:left="993" w:hanging="425"/>
        <w:rPr>
          <w:rFonts w:cs="Arial"/>
        </w:rPr>
      </w:pPr>
      <w:r w:rsidRPr="00394A5B">
        <w:rPr>
          <w:rFonts w:cs="Arial"/>
        </w:rPr>
        <w:t xml:space="preserve">Interest payments on any notional credit ceiling in respect of (a), as reduced by </w:t>
      </w:r>
      <w:r w:rsidR="00685827">
        <w:rPr>
          <w:rFonts w:cs="Arial"/>
        </w:rPr>
        <w:t>the </w:t>
      </w:r>
      <w:r w:rsidRPr="00394A5B">
        <w:rPr>
          <w:rFonts w:cs="Arial"/>
        </w:rPr>
        <w:t xml:space="preserve">annual repayment described in (b), are determined as </w:t>
      </w:r>
      <w:r w:rsidR="00685827">
        <w:rPr>
          <w:rFonts w:cs="Arial"/>
        </w:rPr>
        <w:t>the </w:t>
      </w:r>
      <w:r w:rsidRPr="00394A5B">
        <w:rPr>
          <w:rFonts w:cs="Arial"/>
        </w:rPr>
        <w:t xml:space="preserve">result of applying </w:t>
      </w:r>
      <w:r w:rsidR="00685827">
        <w:rPr>
          <w:rFonts w:cs="Arial"/>
        </w:rPr>
        <w:t>the </w:t>
      </w:r>
      <w:r w:rsidRPr="00394A5B">
        <w:rPr>
          <w:rFonts w:cs="Arial"/>
        </w:rPr>
        <w:t xml:space="preserve">pool rate of interest to </w:t>
      </w:r>
      <w:r w:rsidR="00685827">
        <w:rPr>
          <w:rFonts w:cs="Arial"/>
        </w:rPr>
        <w:t>the </w:t>
      </w:r>
      <w:r w:rsidRPr="00394A5B">
        <w:rPr>
          <w:rFonts w:cs="Arial"/>
        </w:rPr>
        <w:t xml:space="preserve">average notional total credit ceiling during </w:t>
      </w:r>
      <w:r w:rsidR="002D13FC" w:rsidRPr="00394A5B">
        <w:rPr>
          <w:rFonts w:cs="Arial"/>
        </w:rPr>
        <w:t>202</w:t>
      </w:r>
      <w:r w:rsidR="008F6F37" w:rsidRPr="00394A5B">
        <w:rPr>
          <w:rFonts w:cs="Arial"/>
        </w:rPr>
        <w:t>2</w:t>
      </w:r>
      <w:r w:rsidR="009312EB" w:rsidRPr="00394A5B">
        <w:rPr>
          <w:rFonts w:cs="Arial"/>
        </w:rPr>
        <w:t>-</w:t>
      </w:r>
      <w:r w:rsidR="002D13FC" w:rsidRPr="00394A5B">
        <w:rPr>
          <w:rFonts w:cs="Arial"/>
        </w:rPr>
        <w:t>2</w:t>
      </w:r>
      <w:r w:rsidR="008F6F37" w:rsidRPr="00394A5B">
        <w:rPr>
          <w:rFonts w:cs="Arial"/>
        </w:rPr>
        <w:t>3</w:t>
      </w:r>
      <w:r w:rsidRPr="00394A5B">
        <w:rPr>
          <w:rFonts w:cs="Arial"/>
        </w:rPr>
        <w:t>.</w:t>
      </w:r>
    </w:p>
    <w:p w14:paraId="5A39C645" w14:textId="4684F8C7" w:rsidR="002378D6" w:rsidRPr="00E419A5" w:rsidRDefault="00394A5B" w:rsidP="000D07BE">
      <w:pPr>
        <w:pStyle w:val="BodyText"/>
        <w:keepNext/>
        <w:keepLines/>
        <w:numPr>
          <w:ilvl w:val="0"/>
          <w:numId w:val="42"/>
        </w:numPr>
        <w:ind w:left="992" w:hanging="425"/>
        <w:rPr>
          <w:rFonts w:cs="Arial"/>
        </w:rPr>
      </w:pPr>
      <w:r w:rsidRPr="00E419A5">
        <w:rPr>
          <w:rFonts w:cs="Arial"/>
        </w:rPr>
        <w:t>The </w:t>
      </w:r>
      <w:r w:rsidR="002378D6" w:rsidRPr="00E419A5">
        <w:rPr>
          <w:rFonts w:cs="Arial"/>
        </w:rPr>
        <w:t xml:space="preserve">capital-financing component of each </w:t>
      </w:r>
      <w:r w:rsidR="002C1209" w:rsidRPr="00E419A5">
        <w:rPr>
          <w:rFonts w:cs="Arial"/>
        </w:rPr>
        <w:t>C</w:t>
      </w:r>
      <w:r w:rsidR="002378D6" w:rsidRPr="00E419A5">
        <w:rPr>
          <w:rFonts w:cs="Arial"/>
        </w:rPr>
        <w:t xml:space="preserve">ouncil in respect of debts incurred is </w:t>
      </w:r>
      <w:r w:rsidR="00685827" w:rsidRPr="00E419A5">
        <w:rPr>
          <w:rFonts w:cs="Arial"/>
        </w:rPr>
        <w:t>the </w:t>
      </w:r>
      <w:r w:rsidR="002378D6" w:rsidRPr="00E419A5">
        <w:rPr>
          <w:rFonts w:cs="Arial"/>
        </w:rPr>
        <w:t>sum of:</w:t>
      </w:r>
    </w:p>
    <w:p w14:paraId="757833CF" w14:textId="1FF2C443" w:rsidR="002378D6" w:rsidRPr="00394A5B" w:rsidRDefault="00685827" w:rsidP="000D07BE">
      <w:pPr>
        <w:pStyle w:val="BodyText"/>
        <w:keepNext/>
        <w:keepLines/>
        <w:ind w:left="992"/>
        <w:rPr>
          <w:rFonts w:cs="Arial"/>
        </w:rPr>
      </w:pPr>
      <w:r>
        <w:rPr>
          <w:rFonts w:cs="Arial"/>
        </w:rPr>
        <w:t>the </w:t>
      </w:r>
      <w:r w:rsidR="002378D6" w:rsidRPr="00394A5B">
        <w:rPr>
          <w:rFonts w:cs="Arial"/>
        </w:rPr>
        <w:t xml:space="preserve">repayments for </w:t>
      </w:r>
      <w:r w:rsidR="000C01AE" w:rsidRPr="00394A5B">
        <w:rPr>
          <w:rFonts w:cs="Arial"/>
        </w:rPr>
        <w:t>20</w:t>
      </w:r>
      <w:r w:rsidR="002D13FC" w:rsidRPr="00394A5B">
        <w:rPr>
          <w:rFonts w:cs="Arial"/>
        </w:rPr>
        <w:t>2</w:t>
      </w:r>
      <w:r w:rsidR="008F6F37" w:rsidRPr="00394A5B">
        <w:rPr>
          <w:rFonts w:cs="Arial"/>
        </w:rPr>
        <w:t>2</w:t>
      </w:r>
      <w:r w:rsidR="000C01AE" w:rsidRPr="00394A5B">
        <w:rPr>
          <w:rFonts w:cs="Arial"/>
        </w:rPr>
        <w:t>-</w:t>
      </w:r>
      <w:r w:rsidR="002D13FC" w:rsidRPr="00394A5B">
        <w:rPr>
          <w:rFonts w:cs="Arial"/>
        </w:rPr>
        <w:t>2</w:t>
      </w:r>
      <w:r w:rsidR="008F6F37" w:rsidRPr="00394A5B">
        <w:rPr>
          <w:rFonts w:cs="Arial"/>
        </w:rPr>
        <w:t>3</w:t>
      </w:r>
      <w:r w:rsidR="000C01AE" w:rsidRPr="00394A5B">
        <w:rPr>
          <w:rFonts w:cs="Arial"/>
        </w:rPr>
        <w:t xml:space="preserve"> </w:t>
      </w:r>
      <w:r w:rsidR="002378D6" w:rsidRPr="00394A5B">
        <w:rPr>
          <w:rFonts w:cs="Arial"/>
        </w:rPr>
        <w:t xml:space="preserve">described in (b) and </w:t>
      </w:r>
      <w:r>
        <w:rPr>
          <w:rFonts w:cs="Arial"/>
        </w:rPr>
        <w:t>the </w:t>
      </w:r>
      <w:r w:rsidR="002378D6" w:rsidRPr="00394A5B">
        <w:rPr>
          <w:rFonts w:cs="Arial"/>
        </w:rPr>
        <w:t>interest payments described in (c),</w:t>
      </w:r>
    </w:p>
    <w:p w14:paraId="3022B480" w14:textId="24F211C5" w:rsidR="00D9375C" w:rsidRDefault="00394A5B" w:rsidP="00D9375C">
      <w:pPr>
        <w:pStyle w:val="BodyText"/>
        <w:widowControl w:val="0"/>
        <w:numPr>
          <w:ilvl w:val="0"/>
          <w:numId w:val="42"/>
        </w:numPr>
        <w:ind w:left="993" w:hanging="425"/>
        <w:rPr>
          <w:rFonts w:cs="Arial"/>
        </w:rPr>
      </w:pPr>
      <w:r>
        <w:rPr>
          <w:rFonts w:cs="Arial"/>
        </w:rPr>
        <w:t>The </w:t>
      </w:r>
      <w:r w:rsidR="002378D6" w:rsidRPr="00394A5B">
        <w:rPr>
          <w:rFonts w:cs="Arial"/>
        </w:rPr>
        <w:t xml:space="preserve">component in respect of pre-1990 leasing charges and attributed to </w:t>
      </w:r>
      <w:r w:rsidR="002C1209" w:rsidRPr="00394A5B">
        <w:rPr>
          <w:rFonts w:cs="Arial"/>
        </w:rPr>
        <w:t>C</w:t>
      </w:r>
      <w:r w:rsidR="002378D6" w:rsidRPr="00394A5B">
        <w:rPr>
          <w:rFonts w:cs="Arial"/>
        </w:rPr>
        <w:t xml:space="preserve">ouncils is derived from information collected from </w:t>
      </w:r>
      <w:r w:rsidR="002C1209" w:rsidRPr="00394A5B">
        <w:rPr>
          <w:rFonts w:cs="Arial"/>
        </w:rPr>
        <w:t xml:space="preserve">Councils </w:t>
      </w:r>
      <w:r w:rsidR="002378D6" w:rsidRPr="00394A5B">
        <w:rPr>
          <w:rFonts w:cs="Arial"/>
        </w:rPr>
        <w:t xml:space="preserve">to validate </w:t>
      </w:r>
      <w:r w:rsidR="00685827">
        <w:rPr>
          <w:rFonts w:cs="Arial"/>
        </w:rPr>
        <w:t>the </w:t>
      </w:r>
      <w:r w:rsidR="002378D6" w:rsidRPr="00394A5B">
        <w:rPr>
          <w:rFonts w:cs="Arial"/>
        </w:rPr>
        <w:t xml:space="preserve">leasing data provided on </w:t>
      </w:r>
      <w:r w:rsidR="007F549E" w:rsidRPr="00394A5B">
        <w:rPr>
          <w:rFonts w:cs="Arial"/>
        </w:rPr>
        <w:t>Revenue</w:t>
      </w:r>
      <w:r w:rsidR="002378D6" w:rsidRPr="00394A5B">
        <w:rPr>
          <w:rFonts w:cs="Arial"/>
        </w:rPr>
        <w:t xml:space="preserve"> Outturn</w:t>
      </w:r>
      <w:r w:rsidR="00BD6498" w:rsidRPr="00394A5B">
        <w:rPr>
          <w:rFonts w:cs="Arial"/>
        </w:rPr>
        <w:t xml:space="preserve"> (RO)</w:t>
      </w:r>
      <w:r w:rsidR="002378D6" w:rsidRPr="00394A5B">
        <w:rPr>
          <w:rFonts w:cs="Arial"/>
        </w:rPr>
        <w:t xml:space="preserve"> forms.</w:t>
      </w:r>
      <w:r w:rsidR="00700043" w:rsidRPr="00394A5B">
        <w:rPr>
          <w:rFonts w:cs="Arial"/>
        </w:rPr>
        <w:t xml:space="preserve"> </w:t>
      </w:r>
    </w:p>
    <w:p w14:paraId="1432C200" w14:textId="77777777" w:rsidR="00D9375C" w:rsidRDefault="00394A5B" w:rsidP="00D9375C">
      <w:pPr>
        <w:pStyle w:val="BodyText"/>
        <w:widowControl w:val="0"/>
        <w:numPr>
          <w:ilvl w:val="0"/>
          <w:numId w:val="42"/>
        </w:numPr>
        <w:ind w:left="993" w:hanging="425"/>
        <w:rPr>
          <w:rFonts w:cs="Arial"/>
        </w:rPr>
      </w:pPr>
      <w:r>
        <w:rPr>
          <w:rFonts w:cs="Arial"/>
        </w:rPr>
        <w:t>The </w:t>
      </w:r>
      <w:r w:rsidR="002378D6" w:rsidRPr="00394A5B">
        <w:rPr>
          <w:rFonts w:cs="Arial"/>
        </w:rPr>
        <w:t xml:space="preserve">component in respect of capital financing grants from debts incurred on or before 31 March 1990 by probation committee areas and magistrate’s court committee areas and attributed to </w:t>
      </w:r>
      <w:r w:rsidR="002C1209" w:rsidRPr="00394A5B">
        <w:rPr>
          <w:rFonts w:cs="Arial"/>
        </w:rPr>
        <w:t>C</w:t>
      </w:r>
      <w:r w:rsidR="002378D6" w:rsidRPr="00394A5B">
        <w:rPr>
          <w:rFonts w:cs="Arial"/>
        </w:rPr>
        <w:t xml:space="preserve">ouncils is derived from information on </w:t>
      </w:r>
      <w:r w:rsidR="00685827">
        <w:rPr>
          <w:rFonts w:cs="Arial"/>
        </w:rPr>
        <w:t>the </w:t>
      </w:r>
      <w:r w:rsidR="002378D6" w:rsidRPr="00394A5B">
        <w:rPr>
          <w:rFonts w:cs="Arial"/>
        </w:rPr>
        <w:t xml:space="preserve">amount payable to each probation committee area and magistrate’s court committee area in </w:t>
      </w:r>
      <w:r w:rsidR="00685827">
        <w:rPr>
          <w:rFonts w:cs="Arial"/>
        </w:rPr>
        <w:t>the </w:t>
      </w:r>
      <w:r w:rsidR="002378D6" w:rsidRPr="00394A5B">
        <w:rPr>
          <w:rFonts w:cs="Arial"/>
        </w:rPr>
        <w:t xml:space="preserve">year </w:t>
      </w:r>
      <w:r w:rsidR="00A915B3" w:rsidRPr="00394A5B">
        <w:rPr>
          <w:rFonts w:cs="Arial"/>
        </w:rPr>
        <w:t>202</w:t>
      </w:r>
      <w:r w:rsidR="008F6F37" w:rsidRPr="00394A5B">
        <w:rPr>
          <w:rFonts w:cs="Arial"/>
        </w:rPr>
        <w:t>2</w:t>
      </w:r>
      <w:r w:rsidR="000C01AE" w:rsidRPr="00394A5B">
        <w:rPr>
          <w:rFonts w:cs="Arial"/>
        </w:rPr>
        <w:t>-</w:t>
      </w:r>
      <w:r w:rsidR="00D0625D" w:rsidRPr="00394A5B">
        <w:rPr>
          <w:rFonts w:cs="Arial"/>
        </w:rPr>
        <w:t>2</w:t>
      </w:r>
      <w:r w:rsidR="008F6F37" w:rsidRPr="00394A5B">
        <w:rPr>
          <w:rFonts w:cs="Arial"/>
        </w:rPr>
        <w:t>3</w:t>
      </w:r>
      <w:r w:rsidR="002378D6" w:rsidRPr="00394A5B">
        <w:rPr>
          <w:rFonts w:cs="Arial"/>
        </w:rPr>
        <w:t xml:space="preserve">, provided by </w:t>
      </w:r>
      <w:r w:rsidR="00685827">
        <w:rPr>
          <w:rFonts w:cs="Arial"/>
        </w:rPr>
        <w:t>the </w:t>
      </w:r>
      <w:r w:rsidR="002378D6" w:rsidRPr="00394A5B">
        <w:rPr>
          <w:rFonts w:cs="Arial"/>
        </w:rPr>
        <w:t>National Offender Management Service and HM Courts Service.</w:t>
      </w:r>
    </w:p>
    <w:p w14:paraId="07F367C6" w14:textId="66D77F1F" w:rsidR="00525D9A" w:rsidRPr="00394A5B" w:rsidRDefault="00394A5B" w:rsidP="00D9375C">
      <w:pPr>
        <w:pStyle w:val="BodyText"/>
        <w:widowControl w:val="0"/>
        <w:ind w:left="993"/>
        <w:rPr>
          <w:rFonts w:cs="Arial"/>
        </w:rPr>
      </w:pPr>
      <w:r>
        <w:rPr>
          <w:rFonts w:cs="Arial"/>
        </w:rPr>
        <w:t>The </w:t>
      </w:r>
      <w:r w:rsidR="002378D6" w:rsidRPr="00394A5B">
        <w:rPr>
          <w:rFonts w:cs="Arial"/>
        </w:rPr>
        <w:t xml:space="preserve">debt-financing component of each </w:t>
      </w:r>
      <w:r w:rsidR="002C1209" w:rsidRPr="00394A5B">
        <w:rPr>
          <w:rFonts w:cs="Arial"/>
        </w:rPr>
        <w:t>C</w:t>
      </w:r>
      <w:r w:rsidR="002378D6" w:rsidRPr="00394A5B">
        <w:rPr>
          <w:rFonts w:cs="Arial"/>
        </w:rPr>
        <w:t xml:space="preserve">ouncil’s SSA is </w:t>
      </w:r>
      <w:r w:rsidR="00685827">
        <w:rPr>
          <w:rFonts w:cs="Arial"/>
        </w:rPr>
        <w:t>the </w:t>
      </w:r>
      <w:r w:rsidR="002378D6" w:rsidRPr="00394A5B">
        <w:rPr>
          <w:rFonts w:cs="Arial"/>
        </w:rPr>
        <w:t xml:space="preserve">sum of </w:t>
      </w:r>
      <w:r w:rsidR="00685827">
        <w:rPr>
          <w:rFonts w:cs="Arial"/>
        </w:rPr>
        <w:t>the </w:t>
      </w:r>
      <w:r w:rsidR="002378D6" w:rsidRPr="00394A5B">
        <w:rPr>
          <w:rFonts w:cs="Arial"/>
        </w:rPr>
        <w:t xml:space="preserve">amounts described in (d) and (e), less </w:t>
      </w:r>
      <w:r w:rsidR="00685827">
        <w:rPr>
          <w:rFonts w:cs="Arial"/>
        </w:rPr>
        <w:t>the </w:t>
      </w:r>
      <w:r w:rsidR="002378D6" w:rsidRPr="00394A5B">
        <w:rPr>
          <w:rFonts w:cs="Arial"/>
        </w:rPr>
        <w:t>amount described in (f).</w:t>
      </w:r>
    </w:p>
    <w:p w14:paraId="0DA22AE1" w14:textId="77777777" w:rsidR="000C058D" w:rsidRPr="00394A5B" w:rsidRDefault="003D31A0" w:rsidP="00D9375C">
      <w:pPr>
        <w:pStyle w:val="BodyText"/>
        <w:widowControl w:val="0"/>
        <w:ind w:left="567" w:hanging="567"/>
        <w:rPr>
          <w:rFonts w:cs="Arial"/>
        </w:rPr>
      </w:pPr>
      <w:r w:rsidRPr="00394A5B">
        <w:rPr>
          <w:rFonts w:cs="Arial"/>
        </w:rPr>
        <w:t>3.</w:t>
      </w:r>
      <w:r w:rsidRPr="00394A5B">
        <w:rPr>
          <w:rFonts w:cs="Arial"/>
        </w:rPr>
        <w:tab/>
      </w:r>
      <w:r w:rsidR="00AA2E63" w:rsidRPr="00394A5B">
        <w:rPr>
          <w:rFonts w:cs="Arial"/>
        </w:rPr>
        <w:t xml:space="preserve">Funding for pre-determined commitments: Local Government Borrowing Initiative - Highways Improvement; Local Government Borrowing Initiative - 21st Century Schools; </w:t>
      </w:r>
      <w:r w:rsidR="00700043" w:rsidRPr="00394A5B">
        <w:rPr>
          <w:rFonts w:cs="Arial"/>
        </w:rPr>
        <w:t>Asset Financing</w:t>
      </w:r>
      <w:r w:rsidR="00A915B3" w:rsidRPr="00394A5B">
        <w:rPr>
          <w:rFonts w:cs="Arial"/>
        </w:rPr>
        <w:t>; Coastal Risk Management Programme</w:t>
      </w:r>
      <w:r w:rsidR="00E1537D" w:rsidRPr="00394A5B">
        <w:rPr>
          <w:rFonts w:cs="Arial"/>
        </w:rPr>
        <w:t>.</w:t>
      </w:r>
    </w:p>
    <w:p w14:paraId="2153B3BC" w14:textId="25B218F1" w:rsidR="002378D6" w:rsidRPr="00685827" w:rsidRDefault="000C058D" w:rsidP="00685827">
      <w:pPr>
        <w:pStyle w:val="Heading3"/>
      </w:pPr>
      <w:r w:rsidRPr="00685827">
        <w:br w:type="page"/>
      </w:r>
      <w:r w:rsidR="00394A5B" w:rsidRPr="00685827">
        <w:t>Table </w:t>
      </w:r>
      <w:r w:rsidR="002378D6" w:rsidRPr="00685827">
        <w:t>3</w:t>
      </w:r>
      <w:r w:rsidR="00782621" w:rsidRPr="00685827">
        <w:t xml:space="preserve">: </w:t>
      </w:r>
      <w:r w:rsidR="002378D6" w:rsidRPr="00685827">
        <w:t>Notional credit ceiling at 31 March 2004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30" w:type="dxa"/>
          <w:right w:w="30" w:type="dxa"/>
        </w:tblCellMar>
        <w:tblLook w:val="0060" w:firstRow="1" w:lastRow="1" w:firstColumn="0" w:lastColumn="0" w:noHBand="0" w:noVBand="0"/>
        <w:tblDescription w:val="Table 3: Notional credit ceiling at 31 March 2004"/>
      </w:tblPr>
      <w:tblGrid>
        <w:gridCol w:w="5501"/>
        <w:gridCol w:w="2122"/>
        <w:gridCol w:w="2122"/>
      </w:tblGrid>
      <w:tr w:rsidR="000D07BE" w:rsidRPr="000D07BE" w14:paraId="0FF8675F" w14:textId="77777777" w:rsidTr="001E4877">
        <w:trPr>
          <w:cantSplit/>
        </w:trPr>
        <w:tc>
          <w:tcPr>
            <w:tcW w:w="2822" w:type="pct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14:paraId="383EA479" w14:textId="2883053A" w:rsidR="000D07BE" w:rsidRPr="001B0D0C" w:rsidRDefault="000D07BE" w:rsidP="001B0D0C">
            <w:pPr>
              <w:rPr>
                <w:b/>
                <w:bCs/>
              </w:rPr>
            </w:pPr>
            <w:r w:rsidRPr="001B0D0C">
              <w:rPr>
                <w:b/>
                <w:bCs/>
              </w:rPr>
              <w:t>County and county borough councils</w:t>
            </w:r>
          </w:p>
        </w:tc>
        <w:tc>
          <w:tcPr>
            <w:tcW w:w="1089" w:type="pct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14:paraId="5638812F" w14:textId="5852F8C7" w:rsidR="000D07BE" w:rsidRPr="001B0D0C" w:rsidRDefault="000D07BE" w:rsidP="001B0D0C">
            <w:pPr>
              <w:jc w:val="right"/>
              <w:rPr>
                <w:b/>
                <w:bCs/>
              </w:rPr>
            </w:pPr>
            <w:r w:rsidRPr="001B0D0C">
              <w:rPr>
                <w:b/>
                <w:bCs/>
              </w:rPr>
              <w:t>£000</w:t>
            </w:r>
          </w:p>
        </w:tc>
        <w:tc>
          <w:tcPr>
            <w:tcW w:w="1089" w:type="pct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14:paraId="50C0D000" w14:textId="2B7FC9B0" w:rsidR="000D07BE" w:rsidRPr="001B0D0C" w:rsidRDefault="000D07BE" w:rsidP="001B0D0C">
            <w:pPr>
              <w:jc w:val="right"/>
              <w:rPr>
                <w:b/>
                <w:bCs/>
              </w:rPr>
            </w:pPr>
            <w:r w:rsidRPr="001B0D0C">
              <w:rPr>
                <w:b/>
                <w:bCs/>
              </w:rPr>
              <w:t>£ per head of population</w:t>
            </w:r>
            <w:r w:rsidRPr="001B0D0C">
              <w:rPr>
                <w:b/>
                <w:bCs/>
                <w:vertAlign w:val="superscript"/>
              </w:rPr>
              <w:footnoteReference w:id="8"/>
            </w:r>
          </w:p>
        </w:tc>
      </w:tr>
      <w:tr w:rsidR="000D07BE" w:rsidRPr="00394A5B" w14:paraId="3F5B53BB" w14:textId="77777777" w:rsidTr="001E4877">
        <w:trPr>
          <w:cantSplit/>
        </w:trPr>
        <w:tc>
          <w:tcPr>
            <w:tcW w:w="2822" w:type="pct"/>
            <w:tcBorders>
              <w:top w:val="single" w:sz="4" w:space="0" w:color="auto"/>
            </w:tcBorders>
            <w:shd w:val="solid" w:color="FFFFFF" w:fill="auto"/>
            <w:vAlign w:val="center"/>
          </w:tcPr>
          <w:p w14:paraId="26054682" w14:textId="77777777" w:rsidR="000D07BE" w:rsidRPr="00394A5B" w:rsidRDefault="000D07BE" w:rsidP="000D07BE">
            <w:pPr>
              <w:pStyle w:val="TableRowText"/>
              <w:rPr>
                <w:snapToGrid w:val="0"/>
                <w:lang w:eastAsia="en-US"/>
              </w:rPr>
            </w:pPr>
            <w:r w:rsidRPr="00394A5B">
              <w:rPr>
                <w:snapToGrid w:val="0"/>
                <w:lang w:eastAsia="en-US"/>
              </w:rPr>
              <w:t>Isle of Anglesey</w:t>
            </w:r>
          </w:p>
        </w:tc>
        <w:tc>
          <w:tcPr>
            <w:tcW w:w="1089" w:type="pct"/>
            <w:tcBorders>
              <w:top w:val="single" w:sz="4" w:space="0" w:color="auto"/>
            </w:tcBorders>
            <w:shd w:val="solid" w:color="FFFFFF" w:fill="auto"/>
            <w:vAlign w:val="center"/>
          </w:tcPr>
          <w:p w14:paraId="336EB2F5" w14:textId="77777777" w:rsidR="000D07BE" w:rsidRPr="00394A5B" w:rsidRDefault="000D07BE" w:rsidP="000D07BE">
            <w:pPr>
              <w:pStyle w:val="TableText"/>
              <w:rPr>
                <w:snapToGrid w:val="0"/>
                <w:lang w:eastAsia="en-US"/>
              </w:rPr>
            </w:pPr>
            <w:r w:rsidRPr="00394A5B">
              <w:rPr>
                <w:snapToGrid w:val="0"/>
                <w:lang w:eastAsia="en-US"/>
              </w:rPr>
              <w:t>74,510</w:t>
            </w:r>
          </w:p>
        </w:tc>
        <w:tc>
          <w:tcPr>
            <w:tcW w:w="1089" w:type="pct"/>
            <w:tcBorders>
              <w:top w:val="single" w:sz="4" w:space="0" w:color="auto"/>
            </w:tcBorders>
            <w:shd w:val="solid" w:color="FFFFFF" w:fill="auto"/>
            <w:vAlign w:val="center"/>
          </w:tcPr>
          <w:p w14:paraId="38D430A7" w14:textId="1BE74652" w:rsidR="000D07BE" w:rsidRPr="00394A5B" w:rsidRDefault="000D07BE" w:rsidP="000D07BE">
            <w:pPr>
              <w:pStyle w:val="TableText"/>
            </w:pPr>
            <w:r w:rsidRPr="00394A5B">
              <w:t xml:space="preserve">1,093 </w:t>
            </w:r>
          </w:p>
        </w:tc>
      </w:tr>
      <w:tr w:rsidR="000D07BE" w:rsidRPr="00394A5B" w14:paraId="358983B3" w14:textId="77777777" w:rsidTr="001E4877">
        <w:trPr>
          <w:cantSplit/>
        </w:trPr>
        <w:tc>
          <w:tcPr>
            <w:tcW w:w="2822" w:type="pct"/>
            <w:shd w:val="solid" w:color="FFFFFF" w:fill="auto"/>
            <w:vAlign w:val="center"/>
          </w:tcPr>
          <w:p w14:paraId="2DA7F757" w14:textId="77777777" w:rsidR="000D07BE" w:rsidRPr="00394A5B" w:rsidRDefault="000D07BE" w:rsidP="000D07BE">
            <w:pPr>
              <w:pStyle w:val="TableRowText"/>
              <w:rPr>
                <w:snapToGrid w:val="0"/>
                <w:lang w:eastAsia="en-US"/>
              </w:rPr>
            </w:pPr>
            <w:r w:rsidRPr="00394A5B">
              <w:rPr>
                <w:snapToGrid w:val="0"/>
                <w:lang w:eastAsia="en-US"/>
              </w:rPr>
              <w:t>Gwynedd</w:t>
            </w:r>
          </w:p>
        </w:tc>
        <w:tc>
          <w:tcPr>
            <w:tcW w:w="1089" w:type="pct"/>
            <w:shd w:val="solid" w:color="FFFFFF" w:fill="auto"/>
            <w:vAlign w:val="center"/>
          </w:tcPr>
          <w:p w14:paraId="1FC8863F" w14:textId="77777777" w:rsidR="000D07BE" w:rsidRPr="00394A5B" w:rsidRDefault="000D07BE" w:rsidP="000D07BE">
            <w:pPr>
              <w:pStyle w:val="TableText"/>
            </w:pPr>
            <w:r w:rsidRPr="00394A5B">
              <w:rPr>
                <w:snapToGrid w:val="0"/>
                <w:lang w:eastAsia="en-US"/>
              </w:rPr>
              <w:t>126,848</w:t>
            </w:r>
          </w:p>
        </w:tc>
        <w:tc>
          <w:tcPr>
            <w:tcW w:w="1089" w:type="pct"/>
            <w:shd w:val="solid" w:color="FFFFFF" w:fill="auto"/>
            <w:vAlign w:val="center"/>
          </w:tcPr>
          <w:p w14:paraId="6AD2D6DB" w14:textId="21ED992B" w:rsidR="000D07BE" w:rsidRPr="00394A5B" w:rsidRDefault="000D07BE" w:rsidP="000D07BE">
            <w:pPr>
              <w:pStyle w:val="TableText"/>
            </w:pPr>
            <w:r w:rsidRPr="00394A5B">
              <w:t xml:space="preserve">1,075 </w:t>
            </w:r>
          </w:p>
        </w:tc>
      </w:tr>
      <w:tr w:rsidR="000D07BE" w:rsidRPr="00394A5B" w14:paraId="2BD10FA3" w14:textId="77777777" w:rsidTr="001E4877">
        <w:trPr>
          <w:cantSplit/>
        </w:trPr>
        <w:tc>
          <w:tcPr>
            <w:tcW w:w="2822" w:type="pct"/>
            <w:shd w:val="solid" w:color="FFFFFF" w:fill="auto"/>
            <w:vAlign w:val="center"/>
          </w:tcPr>
          <w:p w14:paraId="778E327B" w14:textId="77777777" w:rsidR="000D07BE" w:rsidRPr="00394A5B" w:rsidRDefault="000D07BE" w:rsidP="000D07BE">
            <w:pPr>
              <w:pStyle w:val="TableRowText"/>
              <w:rPr>
                <w:snapToGrid w:val="0"/>
                <w:lang w:eastAsia="en-US"/>
              </w:rPr>
            </w:pPr>
            <w:r w:rsidRPr="00394A5B">
              <w:rPr>
                <w:snapToGrid w:val="0"/>
                <w:lang w:eastAsia="en-US"/>
              </w:rPr>
              <w:t>Conwy</w:t>
            </w:r>
          </w:p>
        </w:tc>
        <w:tc>
          <w:tcPr>
            <w:tcW w:w="1089" w:type="pct"/>
            <w:shd w:val="solid" w:color="FFFFFF" w:fill="auto"/>
            <w:vAlign w:val="center"/>
          </w:tcPr>
          <w:p w14:paraId="25338B53" w14:textId="77777777" w:rsidR="000D07BE" w:rsidRPr="00394A5B" w:rsidRDefault="000D07BE" w:rsidP="000D07BE">
            <w:pPr>
              <w:pStyle w:val="TableText"/>
            </w:pPr>
            <w:r w:rsidRPr="00394A5B">
              <w:rPr>
                <w:snapToGrid w:val="0"/>
                <w:lang w:eastAsia="en-US"/>
              </w:rPr>
              <w:t>103,051</w:t>
            </w:r>
          </w:p>
        </w:tc>
        <w:tc>
          <w:tcPr>
            <w:tcW w:w="1089" w:type="pct"/>
            <w:shd w:val="solid" w:color="FFFFFF" w:fill="auto"/>
            <w:vAlign w:val="center"/>
          </w:tcPr>
          <w:p w14:paraId="4574C5B2" w14:textId="4D7BBD12" w:rsidR="000D07BE" w:rsidRPr="00394A5B" w:rsidRDefault="000D07BE" w:rsidP="000D07BE">
            <w:pPr>
              <w:pStyle w:val="TableText"/>
            </w:pPr>
            <w:r w:rsidRPr="00394A5B">
              <w:t xml:space="preserve">926 </w:t>
            </w:r>
          </w:p>
        </w:tc>
      </w:tr>
      <w:tr w:rsidR="000D07BE" w:rsidRPr="00394A5B" w14:paraId="17251059" w14:textId="77777777" w:rsidTr="001E4877">
        <w:trPr>
          <w:cantSplit/>
        </w:trPr>
        <w:tc>
          <w:tcPr>
            <w:tcW w:w="2822" w:type="pct"/>
            <w:shd w:val="solid" w:color="FFFFFF" w:fill="auto"/>
            <w:vAlign w:val="center"/>
          </w:tcPr>
          <w:p w14:paraId="0E51AF1E" w14:textId="77777777" w:rsidR="000D07BE" w:rsidRPr="00394A5B" w:rsidRDefault="000D07BE" w:rsidP="000D07BE">
            <w:pPr>
              <w:pStyle w:val="TableRowText"/>
              <w:rPr>
                <w:snapToGrid w:val="0"/>
                <w:lang w:eastAsia="en-US"/>
              </w:rPr>
            </w:pPr>
            <w:r w:rsidRPr="00394A5B">
              <w:rPr>
                <w:snapToGrid w:val="0"/>
                <w:lang w:eastAsia="en-US"/>
              </w:rPr>
              <w:t>Denbighshire</w:t>
            </w:r>
          </w:p>
        </w:tc>
        <w:tc>
          <w:tcPr>
            <w:tcW w:w="1089" w:type="pct"/>
            <w:shd w:val="solid" w:color="FFFFFF" w:fill="auto"/>
            <w:vAlign w:val="center"/>
          </w:tcPr>
          <w:p w14:paraId="6EB7CFA3" w14:textId="77777777" w:rsidR="000D07BE" w:rsidRPr="00394A5B" w:rsidRDefault="000D07BE" w:rsidP="000D07BE">
            <w:pPr>
              <w:pStyle w:val="TableText"/>
            </w:pPr>
            <w:r w:rsidRPr="00394A5B">
              <w:rPr>
                <w:snapToGrid w:val="0"/>
                <w:lang w:eastAsia="en-US"/>
              </w:rPr>
              <w:t>98,909</w:t>
            </w:r>
          </w:p>
        </w:tc>
        <w:tc>
          <w:tcPr>
            <w:tcW w:w="1089" w:type="pct"/>
            <w:shd w:val="solid" w:color="FFFFFF" w:fill="auto"/>
            <w:vAlign w:val="center"/>
          </w:tcPr>
          <w:p w14:paraId="1CA593D5" w14:textId="4CBBBB40" w:rsidR="000D07BE" w:rsidRPr="00394A5B" w:rsidRDefault="000D07BE" w:rsidP="000D07BE">
            <w:pPr>
              <w:pStyle w:val="TableText"/>
            </w:pPr>
            <w:r w:rsidRPr="00394A5B">
              <w:t xml:space="preserve">1,054 </w:t>
            </w:r>
          </w:p>
        </w:tc>
      </w:tr>
      <w:tr w:rsidR="000D07BE" w:rsidRPr="00394A5B" w14:paraId="3BBEFB27" w14:textId="77777777" w:rsidTr="001E4877">
        <w:trPr>
          <w:cantSplit/>
        </w:trPr>
        <w:tc>
          <w:tcPr>
            <w:tcW w:w="2822" w:type="pct"/>
            <w:shd w:val="solid" w:color="FFFFFF" w:fill="auto"/>
            <w:vAlign w:val="center"/>
          </w:tcPr>
          <w:p w14:paraId="03F0E221" w14:textId="77777777" w:rsidR="000D07BE" w:rsidRPr="00394A5B" w:rsidRDefault="000D07BE" w:rsidP="000D07BE">
            <w:pPr>
              <w:pStyle w:val="TableRowText"/>
              <w:rPr>
                <w:snapToGrid w:val="0"/>
                <w:lang w:eastAsia="en-US"/>
              </w:rPr>
            </w:pPr>
            <w:r w:rsidRPr="00394A5B">
              <w:rPr>
                <w:snapToGrid w:val="0"/>
                <w:lang w:eastAsia="en-US"/>
              </w:rPr>
              <w:t>Flintshire</w:t>
            </w:r>
          </w:p>
        </w:tc>
        <w:tc>
          <w:tcPr>
            <w:tcW w:w="1089" w:type="pct"/>
            <w:shd w:val="solid" w:color="FFFFFF" w:fill="auto"/>
            <w:vAlign w:val="center"/>
          </w:tcPr>
          <w:p w14:paraId="4B1FBD84" w14:textId="77777777" w:rsidR="000D07BE" w:rsidRPr="00394A5B" w:rsidRDefault="000D07BE" w:rsidP="000D07BE">
            <w:pPr>
              <w:pStyle w:val="TableText"/>
            </w:pPr>
            <w:r w:rsidRPr="00394A5B">
              <w:rPr>
                <w:snapToGrid w:val="0"/>
                <w:lang w:eastAsia="en-US"/>
              </w:rPr>
              <w:t>129,337</w:t>
            </w:r>
          </w:p>
        </w:tc>
        <w:tc>
          <w:tcPr>
            <w:tcW w:w="1089" w:type="pct"/>
            <w:shd w:val="solid" w:color="FFFFFF" w:fill="auto"/>
            <w:vAlign w:val="center"/>
          </w:tcPr>
          <w:p w14:paraId="1BB64D44" w14:textId="0BACD064" w:rsidR="000D07BE" w:rsidRPr="00394A5B" w:rsidRDefault="000D07BE" w:rsidP="000D07BE">
            <w:pPr>
              <w:pStyle w:val="TableText"/>
            </w:pPr>
            <w:r w:rsidRPr="00394A5B">
              <w:t xml:space="preserve">867 </w:t>
            </w:r>
          </w:p>
        </w:tc>
      </w:tr>
      <w:tr w:rsidR="000D07BE" w:rsidRPr="00394A5B" w14:paraId="1A34E6DA" w14:textId="77777777" w:rsidTr="001E4877">
        <w:trPr>
          <w:cantSplit/>
        </w:trPr>
        <w:tc>
          <w:tcPr>
            <w:tcW w:w="2822" w:type="pct"/>
            <w:shd w:val="solid" w:color="FFFFFF" w:fill="auto"/>
            <w:vAlign w:val="center"/>
          </w:tcPr>
          <w:p w14:paraId="28B5CBA7" w14:textId="77777777" w:rsidR="000D07BE" w:rsidRPr="00394A5B" w:rsidRDefault="000D07BE" w:rsidP="000D07BE">
            <w:pPr>
              <w:pStyle w:val="TableRowText"/>
              <w:rPr>
                <w:snapToGrid w:val="0"/>
                <w:lang w:eastAsia="en-US"/>
              </w:rPr>
            </w:pPr>
            <w:r w:rsidRPr="00394A5B">
              <w:rPr>
                <w:snapToGrid w:val="0"/>
                <w:lang w:eastAsia="en-US"/>
              </w:rPr>
              <w:t>Wrexham</w:t>
            </w:r>
          </w:p>
        </w:tc>
        <w:tc>
          <w:tcPr>
            <w:tcW w:w="1089" w:type="pct"/>
            <w:shd w:val="solid" w:color="FFFFFF" w:fill="auto"/>
            <w:vAlign w:val="center"/>
          </w:tcPr>
          <w:p w14:paraId="6152A041" w14:textId="77777777" w:rsidR="000D07BE" w:rsidRPr="00394A5B" w:rsidRDefault="000D07BE" w:rsidP="000D07BE">
            <w:pPr>
              <w:pStyle w:val="TableText"/>
            </w:pPr>
            <w:r w:rsidRPr="00394A5B">
              <w:rPr>
                <w:snapToGrid w:val="0"/>
                <w:lang w:eastAsia="en-US"/>
              </w:rPr>
              <w:t>107,787</w:t>
            </w:r>
          </w:p>
        </w:tc>
        <w:tc>
          <w:tcPr>
            <w:tcW w:w="1089" w:type="pct"/>
            <w:shd w:val="solid" w:color="FFFFFF" w:fill="auto"/>
            <w:vAlign w:val="center"/>
          </w:tcPr>
          <w:p w14:paraId="39DACE9B" w14:textId="2BEF3980" w:rsidR="000D07BE" w:rsidRPr="00394A5B" w:rsidRDefault="000D07BE" w:rsidP="000D07BE">
            <w:pPr>
              <w:pStyle w:val="TableText"/>
            </w:pPr>
            <w:r w:rsidRPr="00394A5B">
              <w:t>836</w:t>
            </w:r>
          </w:p>
        </w:tc>
      </w:tr>
      <w:tr w:rsidR="000D07BE" w:rsidRPr="00394A5B" w14:paraId="13DA9D6F" w14:textId="77777777" w:rsidTr="001E4877">
        <w:trPr>
          <w:cantSplit/>
        </w:trPr>
        <w:tc>
          <w:tcPr>
            <w:tcW w:w="2822" w:type="pct"/>
            <w:shd w:val="solid" w:color="FFFFFF" w:fill="auto"/>
            <w:vAlign w:val="center"/>
          </w:tcPr>
          <w:p w14:paraId="7A890B2A" w14:textId="77777777" w:rsidR="000D07BE" w:rsidRPr="00394A5B" w:rsidRDefault="000D07BE" w:rsidP="000D07BE">
            <w:pPr>
              <w:pStyle w:val="TableRowText"/>
              <w:rPr>
                <w:snapToGrid w:val="0"/>
                <w:lang w:eastAsia="en-US"/>
              </w:rPr>
            </w:pPr>
            <w:r w:rsidRPr="00394A5B">
              <w:rPr>
                <w:snapToGrid w:val="0"/>
                <w:lang w:eastAsia="en-US"/>
              </w:rPr>
              <w:t>Powys</w:t>
            </w:r>
          </w:p>
        </w:tc>
        <w:tc>
          <w:tcPr>
            <w:tcW w:w="1089" w:type="pct"/>
            <w:shd w:val="solid" w:color="FFFFFF" w:fill="auto"/>
            <w:vAlign w:val="center"/>
          </w:tcPr>
          <w:p w14:paraId="767E3F85" w14:textId="77777777" w:rsidR="000D07BE" w:rsidRPr="00394A5B" w:rsidRDefault="000D07BE" w:rsidP="000D07BE">
            <w:pPr>
              <w:pStyle w:val="TableText"/>
            </w:pPr>
            <w:r w:rsidRPr="00394A5B">
              <w:rPr>
                <w:snapToGrid w:val="0"/>
                <w:lang w:eastAsia="en-US"/>
              </w:rPr>
              <w:t>142,229</w:t>
            </w:r>
          </w:p>
        </w:tc>
        <w:tc>
          <w:tcPr>
            <w:tcW w:w="1089" w:type="pct"/>
            <w:shd w:val="solid" w:color="FFFFFF" w:fill="auto"/>
            <w:vAlign w:val="center"/>
          </w:tcPr>
          <w:p w14:paraId="6457B57E" w14:textId="1F26E5F8" w:rsidR="000D07BE" w:rsidRPr="00394A5B" w:rsidRDefault="000D07BE" w:rsidP="000D07BE">
            <w:pPr>
              <w:pStyle w:val="TableText"/>
            </w:pPr>
            <w:r w:rsidRPr="00394A5B">
              <w:t>1,109</w:t>
            </w:r>
          </w:p>
        </w:tc>
      </w:tr>
      <w:tr w:rsidR="000D07BE" w:rsidRPr="00394A5B" w14:paraId="2F27B1A5" w14:textId="77777777" w:rsidTr="001E4877">
        <w:trPr>
          <w:cantSplit/>
        </w:trPr>
        <w:tc>
          <w:tcPr>
            <w:tcW w:w="2822" w:type="pct"/>
            <w:shd w:val="solid" w:color="FFFFFF" w:fill="auto"/>
            <w:vAlign w:val="center"/>
          </w:tcPr>
          <w:p w14:paraId="44D66C10" w14:textId="77777777" w:rsidR="000D07BE" w:rsidRPr="00394A5B" w:rsidRDefault="000D07BE" w:rsidP="000D07BE">
            <w:pPr>
              <w:pStyle w:val="TableRowText"/>
              <w:rPr>
                <w:snapToGrid w:val="0"/>
                <w:lang w:eastAsia="en-US"/>
              </w:rPr>
            </w:pPr>
            <w:r w:rsidRPr="00394A5B">
              <w:rPr>
                <w:snapToGrid w:val="0"/>
                <w:lang w:eastAsia="en-US"/>
              </w:rPr>
              <w:t>Ceredigion</w:t>
            </w:r>
          </w:p>
        </w:tc>
        <w:tc>
          <w:tcPr>
            <w:tcW w:w="1089" w:type="pct"/>
            <w:shd w:val="solid" w:color="FFFFFF" w:fill="auto"/>
            <w:vAlign w:val="center"/>
          </w:tcPr>
          <w:p w14:paraId="70FC7940" w14:textId="77777777" w:rsidR="000D07BE" w:rsidRPr="00394A5B" w:rsidRDefault="000D07BE" w:rsidP="000D07BE">
            <w:pPr>
              <w:pStyle w:val="TableText"/>
            </w:pPr>
            <w:r w:rsidRPr="00394A5B">
              <w:rPr>
                <w:snapToGrid w:val="0"/>
                <w:lang w:eastAsia="en-US"/>
              </w:rPr>
              <w:t>78,589</w:t>
            </w:r>
          </w:p>
        </w:tc>
        <w:tc>
          <w:tcPr>
            <w:tcW w:w="1089" w:type="pct"/>
            <w:shd w:val="solid" w:color="FFFFFF" w:fill="auto"/>
            <w:vAlign w:val="center"/>
          </w:tcPr>
          <w:p w14:paraId="20C48B7B" w14:textId="6F8CD9D7" w:rsidR="000D07BE" w:rsidRPr="00394A5B" w:rsidRDefault="000D07BE" w:rsidP="000D07BE">
            <w:pPr>
              <w:pStyle w:val="TableText"/>
            </w:pPr>
            <w:r w:rsidRPr="00394A5B">
              <w:t>1,040</w:t>
            </w:r>
          </w:p>
        </w:tc>
      </w:tr>
      <w:tr w:rsidR="000D07BE" w:rsidRPr="00394A5B" w14:paraId="555F7559" w14:textId="77777777" w:rsidTr="001E4877">
        <w:trPr>
          <w:cantSplit/>
        </w:trPr>
        <w:tc>
          <w:tcPr>
            <w:tcW w:w="2822" w:type="pct"/>
            <w:shd w:val="solid" w:color="FFFFFF" w:fill="auto"/>
            <w:vAlign w:val="center"/>
          </w:tcPr>
          <w:p w14:paraId="20D6D71E" w14:textId="77777777" w:rsidR="000D07BE" w:rsidRPr="00394A5B" w:rsidRDefault="000D07BE" w:rsidP="000D07BE">
            <w:pPr>
              <w:pStyle w:val="TableRowText"/>
              <w:rPr>
                <w:snapToGrid w:val="0"/>
                <w:lang w:eastAsia="en-US"/>
              </w:rPr>
            </w:pPr>
            <w:r w:rsidRPr="00394A5B">
              <w:rPr>
                <w:snapToGrid w:val="0"/>
                <w:lang w:eastAsia="en-US"/>
              </w:rPr>
              <w:t>Pembrokeshire</w:t>
            </w:r>
          </w:p>
        </w:tc>
        <w:tc>
          <w:tcPr>
            <w:tcW w:w="1089" w:type="pct"/>
            <w:shd w:val="solid" w:color="FFFFFF" w:fill="auto"/>
            <w:vAlign w:val="center"/>
          </w:tcPr>
          <w:p w14:paraId="6D075B02" w14:textId="77777777" w:rsidR="000D07BE" w:rsidRPr="00394A5B" w:rsidRDefault="000D07BE" w:rsidP="000D07BE">
            <w:pPr>
              <w:pStyle w:val="TableText"/>
            </w:pPr>
            <w:r w:rsidRPr="00394A5B">
              <w:rPr>
                <w:snapToGrid w:val="0"/>
                <w:lang w:eastAsia="en-US"/>
              </w:rPr>
              <w:t>118,705</w:t>
            </w:r>
          </w:p>
        </w:tc>
        <w:tc>
          <w:tcPr>
            <w:tcW w:w="1089" w:type="pct"/>
            <w:shd w:val="solid" w:color="FFFFFF" w:fill="auto"/>
            <w:vAlign w:val="center"/>
          </w:tcPr>
          <w:p w14:paraId="4E3B5602" w14:textId="550B5E85" w:rsidR="000D07BE" w:rsidRPr="00394A5B" w:rsidRDefault="000D07BE" w:rsidP="000D07BE">
            <w:pPr>
              <w:pStyle w:val="TableText"/>
            </w:pPr>
            <w:r w:rsidRPr="00394A5B">
              <w:t>1,031</w:t>
            </w:r>
          </w:p>
        </w:tc>
      </w:tr>
      <w:tr w:rsidR="000D07BE" w:rsidRPr="00394A5B" w14:paraId="740832BB" w14:textId="77777777" w:rsidTr="001E4877">
        <w:trPr>
          <w:cantSplit/>
        </w:trPr>
        <w:tc>
          <w:tcPr>
            <w:tcW w:w="2822" w:type="pct"/>
            <w:shd w:val="solid" w:color="FFFFFF" w:fill="auto"/>
            <w:vAlign w:val="center"/>
          </w:tcPr>
          <w:p w14:paraId="4A25C361" w14:textId="77777777" w:rsidR="000D07BE" w:rsidRPr="00394A5B" w:rsidRDefault="000D07BE" w:rsidP="000D07BE">
            <w:pPr>
              <w:pStyle w:val="TableRowText"/>
              <w:rPr>
                <w:snapToGrid w:val="0"/>
                <w:lang w:eastAsia="en-US"/>
              </w:rPr>
            </w:pPr>
            <w:r w:rsidRPr="00394A5B">
              <w:rPr>
                <w:snapToGrid w:val="0"/>
                <w:lang w:eastAsia="en-US"/>
              </w:rPr>
              <w:t>Carmarthenshire</w:t>
            </w:r>
          </w:p>
        </w:tc>
        <w:tc>
          <w:tcPr>
            <w:tcW w:w="1089" w:type="pct"/>
            <w:shd w:val="solid" w:color="FFFFFF" w:fill="auto"/>
            <w:vAlign w:val="center"/>
          </w:tcPr>
          <w:p w14:paraId="25C5373B" w14:textId="77777777" w:rsidR="000D07BE" w:rsidRPr="00394A5B" w:rsidRDefault="000D07BE" w:rsidP="000D07BE">
            <w:pPr>
              <w:pStyle w:val="TableText"/>
            </w:pPr>
            <w:r w:rsidRPr="00394A5B">
              <w:rPr>
                <w:snapToGrid w:val="0"/>
                <w:lang w:eastAsia="en-US"/>
              </w:rPr>
              <w:t>171,392</w:t>
            </w:r>
          </w:p>
        </w:tc>
        <w:tc>
          <w:tcPr>
            <w:tcW w:w="1089" w:type="pct"/>
            <w:shd w:val="solid" w:color="FFFFFF" w:fill="auto"/>
            <w:vAlign w:val="center"/>
          </w:tcPr>
          <w:p w14:paraId="19E4A7DB" w14:textId="64C7FF8F" w:rsidR="000D07BE" w:rsidRPr="00394A5B" w:rsidRDefault="000D07BE" w:rsidP="000D07BE">
            <w:pPr>
              <w:pStyle w:val="TableText"/>
            </w:pPr>
            <w:r w:rsidRPr="00394A5B">
              <w:t>973</w:t>
            </w:r>
          </w:p>
        </w:tc>
      </w:tr>
      <w:tr w:rsidR="000D07BE" w:rsidRPr="00394A5B" w14:paraId="4F2521FB" w14:textId="77777777" w:rsidTr="001E4877">
        <w:trPr>
          <w:cantSplit/>
        </w:trPr>
        <w:tc>
          <w:tcPr>
            <w:tcW w:w="2822" w:type="pct"/>
            <w:shd w:val="solid" w:color="FFFFFF" w:fill="auto"/>
            <w:vAlign w:val="center"/>
          </w:tcPr>
          <w:p w14:paraId="798F1648" w14:textId="77777777" w:rsidR="000D07BE" w:rsidRPr="00394A5B" w:rsidRDefault="000D07BE" w:rsidP="000D07BE">
            <w:pPr>
              <w:pStyle w:val="TableRowText"/>
              <w:rPr>
                <w:snapToGrid w:val="0"/>
                <w:lang w:eastAsia="en-US"/>
              </w:rPr>
            </w:pPr>
            <w:r w:rsidRPr="00394A5B">
              <w:rPr>
                <w:snapToGrid w:val="0"/>
                <w:lang w:eastAsia="en-US"/>
              </w:rPr>
              <w:t>Swansea</w:t>
            </w:r>
          </w:p>
        </w:tc>
        <w:tc>
          <w:tcPr>
            <w:tcW w:w="1089" w:type="pct"/>
            <w:shd w:val="solid" w:color="FFFFFF" w:fill="auto"/>
            <w:vAlign w:val="center"/>
          </w:tcPr>
          <w:p w14:paraId="0156CD28" w14:textId="77777777" w:rsidR="000D07BE" w:rsidRPr="00394A5B" w:rsidRDefault="000D07BE" w:rsidP="000D07BE">
            <w:pPr>
              <w:pStyle w:val="TableText"/>
            </w:pPr>
            <w:r w:rsidRPr="00394A5B">
              <w:rPr>
                <w:snapToGrid w:val="0"/>
                <w:lang w:eastAsia="en-US"/>
              </w:rPr>
              <w:t>235,308</w:t>
            </w:r>
          </w:p>
        </w:tc>
        <w:tc>
          <w:tcPr>
            <w:tcW w:w="1089" w:type="pct"/>
            <w:shd w:val="solid" w:color="FFFFFF" w:fill="auto"/>
            <w:vAlign w:val="center"/>
          </w:tcPr>
          <w:p w14:paraId="7A093AE3" w14:textId="73E128C1" w:rsidR="000D07BE" w:rsidRPr="00394A5B" w:rsidRDefault="000D07BE" w:rsidP="000D07BE">
            <w:pPr>
              <w:pStyle w:val="TableText"/>
            </w:pPr>
            <w:r w:rsidRPr="00394A5B">
              <w:t>1,040</w:t>
            </w:r>
          </w:p>
        </w:tc>
      </w:tr>
      <w:tr w:rsidR="000D07BE" w:rsidRPr="00394A5B" w14:paraId="4161E53F" w14:textId="77777777" w:rsidTr="001E4877">
        <w:trPr>
          <w:cantSplit/>
        </w:trPr>
        <w:tc>
          <w:tcPr>
            <w:tcW w:w="2822" w:type="pct"/>
            <w:shd w:val="solid" w:color="FFFFFF" w:fill="auto"/>
            <w:vAlign w:val="center"/>
          </w:tcPr>
          <w:p w14:paraId="5E9587CD" w14:textId="77777777" w:rsidR="000D07BE" w:rsidRPr="00394A5B" w:rsidRDefault="000D07BE" w:rsidP="000D07BE">
            <w:pPr>
              <w:pStyle w:val="TableRowText"/>
              <w:rPr>
                <w:snapToGrid w:val="0"/>
                <w:lang w:eastAsia="en-US"/>
              </w:rPr>
            </w:pPr>
            <w:r w:rsidRPr="00394A5B">
              <w:rPr>
                <w:snapToGrid w:val="0"/>
                <w:lang w:eastAsia="en-US"/>
              </w:rPr>
              <w:t>Neath Port Talbot</w:t>
            </w:r>
          </w:p>
        </w:tc>
        <w:tc>
          <w:tcPr>
            <w:tcW w:w="1089" w:type="pct"/>
            <w:shd w:val="solid" w:color="FFFFFF" w:fill="auto"/>
            <w:vAlign w:val="center"/>
          </w:tcPr>
          <w:p w14:paraId="2987B9B6" w14:textId="77777777" w:rsidR="000D07BE" w:rsidRPr="00394A5B" w:rsidRDefault="000D07BE" w:rsidP="000D07BE">
            <w:pPr>
              <w:pStyle w:val="TableText"/>
            </w:pPr>
            <w:r w:rsidRPr="00394A5B">
              <w:rPr>
                <w:snapToGrid w:val="0"/>
                <w:lang w:eastAsia="en-US"/>
              </w:rPr>
              <w:t>137,589</w:t>
            </w:r>
          </w:p>
        </w:tc>
        <w:tc>
          <w:tcPr>
            <w:tcW w:w="1089" w:type="pct"/>
            <w:shd w:val="solid" w:color="FFFFFF" w:fill="auto"/>
            <w:vAlign w:val="center"/>
          </w:tcPr>
          <w:p w14:paraId="56EC46B8" w14:textId="40539CF1" w:rsidR="000D07BE" w:rsidRPr="00394A5B" w:rsidRDefault="000D07BE" w:rsidP="000D07BE">
            <w:pPr>
              <w:pStyle w:val="TableText"/>
            </w:pPr>
            <w:r w:rsidRPr="00394A5B">
              <w:t xml:space="preserve">1,010 </w:t>
            </w:r>
          </w:p>
        </w:tc>
      </w:tr>
      <w:tr w:rsidR="000D07BE" w:rsidRPr="00394A5B" w14:paraId="1C2ADF9A" w14:textId="77777777" w:rsidTr="001E4877">
        <w:trPr>
          <w:cantSplit/>
        </w:trPr>
        <w:tc>
          <w:tcPr>
            <w:tcW w:w="2822" w:type="pct"/>
            <w:shd w:val="solid" w:color="FFFFFF" w:fill="auto"/>
            <w:vAlign w:val="center"/>
          </w:tcPr>
          <w:p w14:paraId="63A48B02" w14:textId="77777777" w:rsidR="000D07BE" w:rsidRPr="00394A5B" w:rsidRDefault="000D07BE" w:rsidP="000D07BE">
            <w:pPr>
              <w:pStyle w:val="TableRowText"/>
              <w:rPr>
                <w:snapToGrid w:val="0"/>
                <w:lang w:eastAsia="en-US"/>
              </w:rPr>
            </w:pPr>
            <w:r w:rsidRPr="00394A5B">
              <w:rPr>
                <w:snapToGrid w:val="0"/>
                <w:lang w:eastAsia="en-US"/>
              </w:rPr>
              <w:t>Bridgend</w:t>
            </w:r>
          </w:p>
        </w:tc>
        <w:tc>
          <w:tcPr>
            <w:tcW w:w="1089" w:type="pct"/>
            <w:shd w:val="solid" w:color="FFFFFF" w:fill="auto"/>
            <w:vAlign w:val="center"/>
          </w:tcPr>
          <w:p w14:paraId="3A75C5DC" w14:textId="77777777" w:rsidR="000D07BE" w:rsidRPr="00394A5B" w:rsidRDefault="000D07BE" w:rsidP="000D07BE">
            <w:pPr>
              <w:pStyle w:val="TableText"/>
            </w:pPr>
            <w:r w:rsidRPr="00394A5B">
              <w:rPr>
                <w:snapToGrid w:val="0"/>
                <w:lang w:eastAsia="en-US"/>
              </w:rPr>
              <w:t>117,392</w:t>
            </w:r>
          </w:p>
        </w:tc>
        <w:tc>
          <w:tcPr>
            <w:tcW w:w="1089" w:type="pct"/>
            <w:shd w:val="solid" w:color="FFFFFF" w:fill="auto"/>
            <w:vAlign w:val="center"/>
          </w:tcPr>
          <w:p w14:paraId="5334659B" w14:textId="1760D3AD" w:rsidR="000D07BE" w:rsidRPr="00394A5B" w:rsidRDefault="000D07BE" w:rsidP="000D07BE">
            <w:pPr>
              <w:pStyle w:val="TableText"/>
            </w:pPr>
            <w:r w:rsidRPr="00394A5B">
              <w:t xml:space="preserve">896 </w:t>
            </w:r>
          </w:p>
        </w:tc>
      </w:tr>
      <w:tr w:rsidR="000D07BE" w:rsidRPr="00394A5B" w14:paraId="401A860D" w14:textId="77777777" w:rsidTr="001E4877">
        <w:trPr>
          <w:cantSplit/>
        </w:trPr>
        <w:tc>
          <w:tcPr>
            <w:tcW w:w="2822" w:type="pct"/>
            <w:shd w:val="solid" w:color="FFFFFF" w:fill="auto"/>
            <w:vAlign w:val="center"/>
          </w:tcPr>
          <w:p w14:paraId="33D0C6D3" w14:textId="334A4345" w:rsidR="000D07BE" w:rsidRPr="00394A5B" w:rsidRDefault="000D07BE" w:rsidP="000D07BE">
            <w:pPr>
              <w:pStyle w:val="TableRowTex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The </w:t>
            </w:r>
            <w:r w:rsidRPr="00394A5B">
              <w:rPr>
                <w:snapToGrid w:val="0"/>
                <w:lang w:eastAsia="en-US"/>
              </w:rPr>
              <w:t>Vale of Glamorgan</w:t>
            </w:r>
          </w:p>
        </w:tc>
        <w:tc>
          <w:tcPr>
            <w:tcW w:w="1089" w:type="pct"/>
            <w:shd w:val="solid" w:color="FFFFFF" w:fill="auto"/>
            <w:vAlign w:val="center"/>
          </w:tcPr>
          <w:p w14:paraId="6B68691D" w14:textId="77777777" w:rsidR="000D07BE" w:rsidRPr="00394A5B" w:rsidRDefault="000D07BE" w:rsidP="000D07BE">
            <w:pPr>
              <w:pStyle w:val="TableText"/>
            </w:pPr>
            <w:r w:rsidRPr="00394A5B">
              <w:rPr>
                <w:snapToGrid w:val="0"/>
                <w:lang w:eastAsia="en-US"/>
              </w:rPr>
              <w:t>98,198</w:t>
            </w:r>
          </w:p>
        </w:tc>
        <w:tc>
          <w:tcPr>
            <w:tcW w:w="1089" w:type="pct"/>
            <w:shd w:val="solid" w:color="FFFFFF" w:fill="auto"/>
            <w:vAlign w:val="center"/>
          </w:tcPr>
          <w:p w14:paraId="1F955CEC" w14:textId="1FC6691B" w:rsidR="000D07BE" w:rsidRPr="00394A5B" w:rsidRDefault="000D07BE" w:rsidP="000D07BE">
            <w:pPr>
              <w:pStyle w:val="TableText"/>
            </w:pPr>
            <w:r w:rsidRPr="00394A5B">
              <w:t xml:space="preserve">812 </w:t>
            </w:r>
          </w:p>
        </w:tc>
      </w:tr>
      <w:tr w:rsidR="000D07BE" w:rsidRPr="00394A5B" w14:paraId="7E388752" w14:textId="77777777" w:rsidTr="001E4877">
        <w:trPr>
          <w:cantSplit/>
        </w:trPr>
        <w:tc>
          <w:tcPr>
            <w:tcW w:w="2822" w:type="pct"/>
            <w:shd w:val="solid" w:color="FFFFFF" w:fill="auto"/>
            <w:vAlign w:val="center"/>
          </w:tcPr>
          <w:p w14:paraId="54958307" w14:textId="77777777" w:rsidR="000D07BE" w:rsidRPr="00394A5B" w:rsidRDefault="000D07BE" w:rsidP="000D07BE">
            <w:pPr>
              <w:pStyle w:val="TableRowText"/>
              <w:rPr>
                <w:snapToGrid w:val="0"/>
                <w:lang w:eastAsia="en-US"/>
              </w:rPr>
            </w:pPr>
            <w:r w:rsidRPr="00394A5B">
              <w:rPr>
                <w:snapToGrid w:val="0"/>
                <w:lang w:eastAsia="en-US"/>
              </w:rPr>
              <w:t>Rhondda Cynon Taff</w:t>
            </w:r>
          </w:p>
        </w:tc>
        <w:tc>
          <w:tcPr>
            <w:tcW w:w="1089" w:type="pct"/>
            <w:shd w:val="solid" w:color="FFFFFF" w:fill="auto"/>
            <w:vAlign w:val="center"/>
          </w:tcPr>
          <w:p w14:paraId="06D08960" w14:textId="77777777" w:rsidR="000D07BE" w:rsidRPr="00394A5B" w:rsidRDefault="000D07BE" w:rsidP="000D07BE">
            <w:pPr>
              <w:pStyle w:val="TableText"/>
            </w:pPr>
            <w:r w:rsidRPr="00394A5B">
              <w:rPr>
                <w:snapToGrid w:val="0"/>
                <w:lang w:eastAsia="en-US"/>
              </w:rPr>
              <w:t>239,134</w:t>
            </w:r>
          </w:p>
        </w:tc>
        <w:tc>
          <w:tcPr>
            <w:tcW w:w="1089" w:type="pct"/>
            <w:shd w:val="solid" w:color="FFFFFF" w:fill="auto"/>
            <w:vAlign w:val="center"/>
          </w:tcPr>
          <w:p w14:paraId="0932D596" w14:textId="0C0C412D" w:rsidR="000D07BE" w:rsidRPr="00394A5B" w:rsidRDefault="000D07BE" w:rsidP="000D07BE">
            <w:pPr>
              <w:pStyle w:val="TableText"/>
            </w:pPr>
            <w:r w:rsidRPr="00394A5B">
              <w:t xml:space="preserve">1,029 </w:t>
            </w:r>
          </w:p>
        </w:tc>
      </w:tr>
      <w:tr w:rsidR="000D07BE" w:rsidRPr="00394A5B" w14:paraId="64F0FF87" w14:textId="77777777" w:rsidTr="001E4877">
        <w:trPr>
          <w:cantSplit/>
        </w:trPr>
        <w:tc>
          <w:tcPr>
            <w:tcW w:w="2822" w:type="pct"/>
            <w:shd w:val="solid" w:color="FFFFFF" w:fill="auto"/>
            <w:vAlign w:val="center"/>
          </w:tcPr>
          <w:p w14:paraId="59AC5EF5" w14:textId="77777777" w:rsidR="000D07BE" w:rsidRPr="00394A5B" w:rsidRDefault="000D07BE" w:rsidP="000D07BE">
            <w:pPr>
              <w:pStyle w:val="TableRowText"/>
              <w:rPr>
                <w:snapToGrid w:val="0"/>
                <w:lang w:eastAsia="en-US"/>
              </w:rPr>
            </w:pPr>
            <w:r w:rsidRPr="00394A5B">
              <w:rPr>
                <w:snapToGrid w:val="0"/>
                <w:lang w:eastAsia="en-US"/>
              </w:rPr>
              <w:t>Merthyr Tydfil</w:t>
            </w:r>
          </w:p>
        </w:tc>
        <w:tc>
          <w:tcPr>
            <w:tcW w:w="1089" w:type="pct"/>
            <w:shd w:val="solid" w:color="FFFFFF" w:fill="auto"/>
            <w:vAlign w:val="center"/>
          </w:tcPr>
          <w:p w14:paraId="44C3B4BF" w14:textId="77777777" w:rsidR="000D07BE" w:rsidRPr="00394A5B" w:rsidRDefault="000D07BE" w:rsidP="000D07BE">
            <w:pPr>
              <w:pStyle w:val="TableText"/>
            </w:pPr>
            <w:r w:rsidRPr="00394A5B">
              <w:rPr>
                <w:snapToGrid w:val="0"/>
                <w:lang w:eastAsia="en-US"/>
              </w:rPr>
              <w:t>60,243</w:t>
            </w:r>
          </w:p>
        </w:tc>
        <w:tc>
          <w:tcPr>
            <w:tcW w:w="1089" w:type="pct"/>
            <w:shd w:val="solid" w:color="FFFFFF" w:fill="auto"/>
            <w:vAlign w:val="center"/>
          </w:tcPr>
          <w:p w14:paraId="22F9D1C4" w14:textId="2E0094C6" w:rsidR="000D07BE" w:rsidRPr="00394A5B" w:rsidRDefault="000D07BE" w:rsidP="000D07BE">
            <w:pPr>
              <w:pStyle w:val="TableText"/>
            </w:pPr>
            <w:r w:rsidRPr="00394A5B">
              <w:t xml:space="preserve">1,077 </w:t>
            </w:r>
          </w:p>
        </w:tc>
      </w:tr>
      <w:tr w:rsidR="000D07BE" w:rsidRPr="00394A5B" w14:paraId="0F725F05" w14:textId="77777777" w:rsidTr="001E4877">
        <w:trPr>
          <w:cantSplit/>
        </w:trPr>
        <w:tc>
          <w:tcPr>
            <w:tcW w:w="2822" w:type="pct"/>
            <w:shd w:val="solid" w:color="FFFFFF" w:fill="auto"/>
            <w:vAlign w:val="center"/>
          </w:tcPr>
          <w:p w14:paraId="0C87C825" w14:textId="77777777" w:rsidR="000D07BE" w:rsidRPr="00394A5B" w:rsidRDefault="000D07BE" w:rsidP="000D07BE">
            <w:pPr>
              <w:pStyle w:val="TableRowText"/>
              <w:rPr>
                <w:snapToGrid w:val="0"/>
                <w:lang w:eastAsia="en-US"/>
              </w:rPr>
            </w:pPr>
            <w:r w:rsidRPr="00394A5B">
              <w:rPr>
                <w:snapToGrid w:val="0"/>
                <w:lang w:eastAsia="en-US"/>
              </w:rPr>
              <w:t>Caerphilly</w:t>
            </w:r>
          </w:p>
        </w:tc>
        <w:tc>
          <w:tcPr>
            <w:tcW w:w="1089" w:type="pct"/>
            <w:shd w:val="solid" w:color="FFFFFF" w:fill="auto"/>
            <w:vAlign w:val="center"/>
          </w:tcPr>
          <w:p w14:paraId="5015EEB6" w14:textId="77777777" w:rsidR="000D07BE" w:rsidRPr="00394A5B" w:rsidRDefault="000D07BE" w:rsidP="000D07BE">
            <w:pPr>
              <w:pStyle w:val="TableText"/>
            </w:pPr>
            <w:r w:rsidRPr="00394A5B">
              <w:rPr>
                <w:snapToGrid w:val="0"/>
                <w:lang w:eastAsia="en-US"/>
              </w:rPr>
              <w:t>152,277</w:t>
            </w:r>
          </w:p>
        </w:tc>
        <w:tc>
          <w:tcPr>
            <w:tcW w:w="1089" w:type="pct"/>
            <w:shd w:val="solid" w:color="FFFFFF" w:fill="auto"/>
            <w:vAlign w:val="center"/>
          </w:tcPr>
          <w:p w14:paraId="74738997" w14:textId="7AC19802" w:rsidR="000D07BE" w:rsidRPr="00394A5B" w:rsidRDefault="000D07BE" w:rsidP="000D07BE">
            <w:pPr>
              <w:pStyle w:val="TableText"/>
            </w:pPr>
            <w:r w:rsidRPr="00394A5B">
              <w:t xml:space="preserve">889 </w:t>
            </w:r>
          </w:p>
        </w:tc>
      </w:tr>
      <w:tr w:rsidR="000D07BE" w:rsidRPr="00394A5B" w14:paraId="0966E577" w14:textId="77777777" w:rsidTr="001E4877">
        <w:trPr>
          <w:cantSplit/>
        </w:trPr>
        <w:tc>
          <w:tcPr>
            <w:tcW w:w="2822" w:type="pct"/>
            <w:shd w:val="solid" w:color="FFFFFF" w:fill="auto"/>
            <w:vAlign w:val="center"/>
          </w:tcPr>
          <w:p w14:paraId="31B3EB5B" w14:textId="77777777" w:rsidR="000D07BE" w:rsidRPr="00394A5B" w:rsidRDefault="000D07BE" w:rsidP="000D07BE">
            <w:pPr>
              <w:pStyle w:val="TableRowText"/>
              <w:rPr>
                <w:snapToGrid w:val="0"/>
                <w:lang w:eastAsia="en-US"/>
              </w:rPr>
            </w:pPr>
            <w:r w:rsidRPr="00394A5B">
              <w:rPr>
                <w:snapToGrid w:val="0"/>
                <w:lang w:eastAsia="en-US"/>
              </w:rPr>
              <w:t>Blaenau Gwent</w:t>
            </w:r>
          </w:p>
        </w:tc>
        <w:tc>
          <w:tcPr>
            <w:tcW w:w="1089" w:type="pct"/>
            <w:shd w:val="solid" w:color="FFFFFF" w:fill="auto"/>
            <w:vAlign w:val="center"/>
          </w:tcPr>
          <w:p w14:paraId="5E58BFCC" w14:textId="77777777" w:rsidR="000D07BE" w:rsidRPr="00394A5B" w:rsidRDefault="000D07BE" w:rsidP="000D07BE">
            <w:pPr>
              <w:pStyle w:val="TableText"/>
            </w:pPr>
            <w:r w:rsidRPr="00394A5B">
              <w:rPr>
                <w:snapToGrid w:val="0"/>
                <w:lang w:eastAsia="en-US"/>
              </w:rPr>
              <w:t>91,140</w:t>
            </w:r>
          </w:p>
        </w:tc>
        <w:tc>
          <w:tcPr>
            <w:tcW w:w="1089" w:type="pct"/>
            <w:shd w:val="solid" w:color="FFFFFF" w:fill="auto"/>
            <w:vAlign w:val="center"/>
          </w:tcPr>
          <w:p w14:paraId="0DC2E8BA" w14:textId="41D60723" w:rsidR="000D07BE" w:rsidRPr="00394A5B" w:rsidRDefault="000D07BE" w:rsidP="000D07BE">
            <w:pPr>
              <w:pStyle w:val="TableText"/>
            </w:pPr>
            <w:r w:rsidRPr="00394A5B">
              <w:t xml:space="preserve">1,317 </w:t>
            </w:r>
          </w:p>
        </w:tc>
      </w:tr>
      <w:tr w:rsidR="000D07BE" w:rsidRPr="00394A5B" w14:paraId="5043E7C9" w14:textId="77777777" w:rsidTr="001E4877">
        <w:trPr>
          <w:cantSplit/>
        </w:trPr>
        <w:tc>
          <w:tcPr>
            <w:tcW w:w="2822" w:type="pct"/>
            <w:shd w:val="solid" w:color="FFFFFF" w:fill="auto"/>
            <w:vAlign w:val="center"/>
          </w:tcPr>
          <w:p w14:paraId="4B7DBB0E" w14:textId="77777777" w:rsidR="000D07BE" w:rsidRPr="00394A5B" w:rsidRDefault="000D07BE" w:rsidP="000D07BE">
            <w:pPr>
              <w:pStyle w:val="TableRowText"/>
              <w:rPr>
                <w:snapToGrid w:val="0"/>
                <w:lang w:eastAsia="en-US"/>
              </w:rPr>
            </w:pPr>
            <w:r w:rsidRPr="00394A5B">
              <w:rPr>
                <w:snapToGrid w:val="0"/>
                <w:lang w:eastAsia="en-US"/>
              </w:rPr>
              <w:t>Torfaen</w:t>
            </w:r>
          </w:p>
        </w:tc>
        <w:tc>
          <w:tcPr>
            <w:tcW w:w="1089" w:type="pct"/>
            <w:shd w:val="solid" w:color="FFFFFF" w:fill="auto"/>
            <w:vAlign w:val="center"/>
          </w:tcPr>
          <w:p w14:paraId="317DE419" w14:textId="77777777" w:rsidR="000D07BE" w:rsidRPr="00394A5B" w:rsidRDefault="000D07BE" w:rsidP="000D07BE">
            <w:pPr>
              <w:pStyle w:val="TableText"/>
            </w:pPr>
            <w:r w:rsidRPr="00394A5B">
              <w:rPr>
                <w:snapToGrid w:val="0"/>
                <w:lang w:eastAsia="en-US"/>
              </w:rPr>
              <w:t>96,562</w:t>
            </w:r>
          </w:p>
        </w:tc>
        <w:tc>
          <w:tcPr>
            <w:tcW w:w="1089" w:type="pct"/>
            <w:shd w:val="solid" w:color="FFFFFF" w:fill="auto"/>
            <w:vAlign w:val="center"/>
          </w:tcPr>
          <w:p w14:paraId="45A46F05" w14:textId="13E2451B" w:rsidR="000D07BE" w:rsidRPr="00394A5B" w:rsidRDefault="000D07BE" w:rsidP="000D07BE">
            <w:pPr>
              <w:pStyle w:val="TableText"/>
            </w:pPr>
            <w:r w:rsidRPr="00394A5B">
              <w:t xml:space="preserve">1,064 </w:t>
            </w:r>
          </w:p>
        </w:tc>
      </w:tr>
      <w:tr w:rsidR="000D07BE" w:rsidRPr="00394A5B" w14:paraId="76296CDE" w14:textId="77777777" w:rsidTr="001E4877">
        <w:trPr>
          <w:cantSplit/>
        </w:trPr>
        <w:tc>
          <w:tcPr>
            <w:tcW w:w="2822" w:type="pct"/>
            <w:shd w:val="solid" w:color="FFFFFF" w:fill="auto"/>
            <w:vAlign w:val="center"/>
          </w:tcPr>
          <w:p w14:paraId="581FE31C" w14:textId="77777777" w:rsidR="000D07BE" w:rsidRPr="00394A5B" w:rsidRDefault="000D07BE" w:rsidP="000D07BE">
            <w:pPr>
              <w:pStyle w:val="TableRowText"/>
              <w:rPr>
                <w:snapToGrid w:val="0"/>
                <w:lang w:eastAsia="en-US"/>
              </w:rPr>
            </w:pPr>
            <w:r w:rsidRPr="00394A5B">
              <w:rPr>
                <w:snapToGrid w:val="0"/>
                <w:lang w:eastAsia="en-US"/>
              </w:rPr>
              <w:t>Monmouthshire</w:t>
            </w:r>
          </w:p>
        </w:tc>
        <w:tc>
          <w:tcPr>
            <w:tcW w:w="1089" w:type="pct"/>
            <w:shd w:val="solid" w:color="FFFFFF" w:fill="auto"/>
            <w:vAlign w:val="center"/>
          </w:tcPr>
          <w:p w14:paraId="5A5881E3" w14:textId="77777777" w:rsidR="000D07BE" w:rsidRPr="00394A5B" w:rsidRDefault="000D07BE" w:rsidP="000D07BE">
            <w:pPr>
              <w:pStyle w:val="TableText"/>
            </w:pPr>
            <w:r w:rsidRPr="00394A5B">
              <w:rPr>
                <w:snapToGrid w:val="0"/>
                <w:lang w:eastAsia="en-US"/>
              </w:rPr>
              <w:t>70,115</w:t>
            </w:r>
          </w:p>
        </w:tc>
        <w:tc>
          <w:tcPr>
            <w:tcW w:w="1089" w:type="pct"/>
            <w:shd w:val="solid" w:color="FFFFFF" w:fill="auto"/>
            <w:vAlign w:val="center"/>
          </w:tcPr>
          <w:p w14:paraId="107BBDB4" w14:textId="1B0505CB" w:rsidR="000D07BE" w:rsidRPr="00394A5B" w:rsidRDefault="000D07BE" w:rsidP="000D07BE">
            <w:pPr>
              <w:pStyle w:val="TableText"/>
            </w:pPr>
            <w:r w:rsidRPr="00394A5B">
              <w:t xml:space="preserve">810 </w:t>
            </w:r>
          </w:p>
        </w:tc>
      </w:tr>
      <w:tr w:rsidR="000D07BE" w:rsidRPr="00394A5B" w14:paraId="15886B1E" w14:textId="77777777" w:rsidTr="001E4877">
        <w:trPr>
          <w:cantSplit/>
        </w:trPr>
        <w:tc>
          <w:tcPr>
            <w:tcW w:w="2822" w:type="pct"/>
            <w:tcBorders>
              <w:bottom w:val="nil"/>
            </w:tcBorders>
            <w:shd w:val="solid" w:color="FFFFFF" w:fill="auto"/>
            <w:vAlign w:val="center"/>
          </w:tcPr>
          <w:p w14:paraId="2E426F9E" w14:textId="77777777" w:rsidR="000D07BE" w:rsidRPr="00394A5B" w:rsidRDefault="000D07BE" w:rsidP="000D07BE">
            <w:pPr>
              <w:pStyle w:val="TableRowText"/>
              <w:rPr>
                <w:snapToGrid w:val="0"/>
                <w:lang w:eastAsia="en-US"/>
              </w:rPr>
            </w:pPr>
            <w:r w:rsidRPr="00394A5B">
              <w:rPr>
                <w:snapToGrid w:val="0"/>
                <w:lang w:eastAsia="en-US"/>
              </w:rPr>
              <w:t>Newport</w:t>
            </w:r>
          </w:p>
        </w:tc>
        <w:tc>
          <w:tcPr>
            <w:tcW w:w="1089" w:type="pct"/>
            <w:tcBorders>
              <w:bottom w:val="nil"/>
            </w:tcBorders>
            <w:shd w:val="solid" w:color="FFFFFF" w:fill="auto"/>
            <w:vAlign w:val="center"/>
          </w:tcPr>
          <w:p w14:paraId="45C0DAB0" w14:textId="77777777" w:rsidR="000D07BE" w:rsidRPr="00394A5B" w:rsidRDefault="000D07BE" w:rsidP="000D07BE">
            <w:pPr>
              <w:pStyle w:val="TableText"/>
            </w:pPr>
            <w:r w:rsidRPr="00394A5B">
              <w:rPr>
                <w:snapToGrid w:val="0"/>
                <w:lang w:eastAsia="en-US"/>
              </w:rPr>
              <w:t>138,990</w:t>
            </w:r>
          </w:p>
        </w:tc>
        <w:tc>
          <w:tcPr>
            <w:tcW w:w="1089" w:type="pct"/>
            <w:tcBorders>
              <w:bottom w:val="nil"/>
            </w:tcBorders>
            <w:shd w:val="solid" w:color="FFFFFF" w:fill="auto"/>
            <w:vAlign w:val="center"/>
          </w:tcPr>
          <w:p w14:paraId="1292670F" w14:textId="2E36C6A0" w:rsidR="000D07BE" w:rsidRPr="00394A5B" w:rsidRDefault="000D07BE" w:rsidP="000D07BE">
            <w:pPr>
              <w:pStyle w:val="TableText"/>
            </w:pPr>
            <w:r w:rsidRPr="00394A5B">
              <w:t xml:space="preserve">999 </w:t>
            </w:r>
          </w:p>
        </w:tc>
      </w:tr>
      <w:tr w:rsidR="000D07BE" w:rsidRPr="00394A5B" w14:paraId="0D276922" w14:textId="77777777" w:rsidTr="001E4877">
        <w:trPr>
          <w:cantSplit/>
        </w:trPr>
        <w:tc>
          <w:tcPr>
            <w:tcW w:w="2822" w:type="pct"/>
            <w:tcBorders>
              <w:top w:val="nil"/>
              <w:bottom w:val="single" w:sz="4" w:space="0" w:color="auto"/>
            </w:tcBorders>
            <w:shd w:val="solid" w:color="FFFFFF" w:fill="auto"/>
            <w:vAlign w:val="center"/>
          </w:tcPr>
          <w:p w14:paraId="2D820802" w14:textId="77777777" w:rsidR="000D07BE" w:rsidRPr="00394A5B" w:rsidRDefault="000D07BE" w:rsidP="000D07BE">
            <w:pPr>
              <w:pStyle w:val="TableRowText"/>
              <w:rPr>
                <w:snapToGrid w:val="0"/>
                <w:lang w:eastAsia="en-US"/>
              </w:rPr>
            </w:pPr>
            <w:r w:rsidRPr="00394A5B">
              <w:rPr>
                <w:snapToGrid w:val="0"/>
                <w:lang w:eastAsia="en-US"/>
              </w:rPr>
              <w:t>Cardiff</w:t>
            </w:r>
          </w:p>
        </w:tc>
        <w:tc>
          <w:tcPr>
            <w:tcW w:w="1089" w:type="pct"/>
            <w:tcBorders>
              <w:top w:val="nil"/>
              <w:bottom w:val="single" w:sz="4" w:space="0" w:color="auto"/>
            </w:tcBorders>
            <w:shd w:val="solid" w:color="FFFFFF" w:fill="auto"/>
            <w:vAlign w:val="center"/>
          </w:tcPr>
          <w:p w14:paraId="707A11B6" w14:textId="77777777" w:rsidR="000D07BE" w:rsidRPr="00394A5B" w:rsidRDefault="000D07BE" w:rsidP="000D07BE">
            <w:pPr>
              <w:pStyle w:val="TableText"/>
            </w:pPr>
            <w:r w:rsidRPr="00394A5B">
              <w:rPr>
                <w:snapToGrid w:val="0"/>
                <w:lang w:eastAsia="en-US"/>
              </w:rPr>
              <w:t>283,897</w:t>
            </w:r>
          </w:p>
        </w:tc>
        <w:tc>
          <w:tcPr>
            <w:tcW w:w="1089" w:type="pct"/>
            <w:tcBorders>
              <w:top w:val="nil"/>
              <w:bottom w:val="single" w:sz="4" w:space="0" w:color="auto"/>
            </w:tcBorders>
            <w:shd w:val="solid" w:color="FFFFFF" w:fill="auto"/>
            <w:vAlign w:val="center"/>
          </w:tcPr>
          <w:p w14:paraId="16065CEB" w14:textId="794D84DB" w:rsidR="000D07BE" w:rsidRPr="00394A5B" w:rsidRDefault="000D07BE" w:rsidP="000D07BE">
            <w:pPr>
              <w:pStyle w:val="TableText"/>
            </w:pPr>
            <w:r w:rsidRPr="00394A5B">
              <w:t xml:space="preserve">906 </w:t>
            </w:r>
          </w:p>
        </w:tc>
      </w:tr>
      <w:tr w:rsidR="000D07BE" w:rsidRPr="00394A5B" w14:paraId="160B8192" w14:textId="77777777" w:rsidTr="001E4877">
        <w:trPr>
          <w:cantSplit/>
        </w:trPr>
        <w:tc>
          <w:tcPr>
            <w:tcW w:w="2822" w:type="pct"/>
            <w:tcBorders>
              <w:top w:val="single" w:sz="4" w:space="0" w:color="auto"/>
            </w:tcBorders>
            <w:shd w:val="solid" w:color="FFFFFF" w:fill="auto"/>
            <w:vAlign w:val="center"/>
          </w:tcPr>
          <w:p w14:paraId="10847D13" w14:textId="77777777" w:rsidR="000D07BE" w:rsidRPr="00394A5B" w:rsidRDefault="000D07BE" w:rsidP="000D07BE">
            <w:pPr>
              <w:pStyle w:val="TableRowText"/>
              <w:rPr>
                <w:b/>
                <w:snapToGrid w:val="0"/>
                <w:lang w:eastAsia="en-US"/>
              </w:rPr>
            </w:pPr>
            <w:r w:rsidRPr="00394A5B">
              <w:rPr>
                <w:b/>
                <w:snapToGrid w:val="0"/>
                <w:lang w:eastAsia="en-US"/>
              </w:rPr>
              <w:t>Wales</w:t>
            </w:r>
          </w:p>
        </w:tc>
        <w:tc>
          <w:tcPr>
            <w:tcW w:w="1089" w:type="pct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14:paraId="45BEF920" w14:textId="77777777" w:rsidR="000D07BE" w:rsidRPr="00394A5B" w:rsidRDefault="000D07BE" w:rsidP="000D07BE">
            <w:pPr>
              <w:pStyle w:val="TableText"/>
            </w:pPr>
            <w:r w:rsidRPr="00394A5B">
              <w:rPr>
                <w:b/>
                <w:snapToGrid w:val="0"/>
                <w:lang w:eastAsia="en-US"/>
              </w:rPr>
              <w:t>2,872,201</w:t>
            </w:r>
          </w:p>
        </w:tc>
        <w:tc>
          <w:tcPr>
            <w:tcW w:w="1089" w:type="pct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14:paraId="4A681572" w14:textId="77777777" w:rsidR="000D07BE" w:rsidRPr="00394A5B" w:rsidRDefault="000D07BE" w:rsidP="000D07BE">
            <w:pPr>
              <w:pStyle w:val="TableText"/>
            </w:pPr>
            <w:r w:rsidRPr="00394A5B">
              <w:rPr>
                <w:b/>
                <w:snapToGrid w:val="0"/>
                <w:lang w:eastAsia="en-US"/>
              </w:rPr>
              <w:t>978</w:t>
            </w:r>
          </w:p>
        </w:tc>
      </w:tr>
    </w:tbl>
    <w:p w14:paraId="25FEBA57" w14:textId="5FBC5826" w:rsidR="00086558" w:rsidRPr="00394A5B" w:rsidRDefault="004B3C96" w:rsidP="00D9375C">
      <w:pPr>
        <w:pStyle w:val="TableNotes"/>
      </w:pPr>
      <w:r w:rsidRPr="00394A5B">
        <w:t>Notes:</w:t>
      </w:r>
      <w:r w:rsidRPr="00394A5B">
        <w:tab/>
        <w:t>Figures include relevant apportionment of fire authority credit ceiling</w:t>
      </w:r>
      <w:r w:rsidR="000C01AE" w:rsidRPr="00394A5B">
        <w:t xml:space="preserve">. </w:t>
      </w:r>
      <w:r w:rsidRPr="00394A5B">
        <w:t xml:space="preserve">Due to rounding, </w:t>
      </w:r>
      <w:r w:rsidR="00685827">
        <w:t>the </w:t>
      </w:r>
      <w:r w:rsidRPr="00394A5B">
        <w:t xml:space="preserve">credit ceiling for all </w:t>
      </w:r>
      <w:r w:rsidR="00685827">
        <w:t>the </w:t>
      </w:r>
      <w:r w:rsidRPr="00394A5B">
        <w:t xml:space="preserve">county and county borough councils may not add to </w:t>
      </w:r>
      <w:r w:rsidR="00685827">
        <w:t>the </w:t>
      </w:r>
      <w:r w:rsidRPr="00394A5B">
        <w:t>Wales total</w:t>
      </w:r>
      <w:r w:rsidR="000C01AE" w:rsidRPr="00394A5B">
        <w:t>.</w:t>
      </w:r>
      <w:r w:rsidRPr="00394A5B">
        <w:t xml:space="preserve">  </w:t>
      </w:r>
    </w:p>
    <w:p w14:paraId="383F6D21" w14:textId="3B5640F0" w:rsidR="00664DC6" w:rsidRPr="00685827" w:rsidRDefault="002378D6" w:rsidP="00685827">
      <w:pPr>
        <w:pStyle w:val="Heading3"/>
      </w:pPr>
      <w:r w:rsidRPr="00685827">
        <w:br w:type="page"/>
      </w:r>
      <w:r w:rsidR="00394A5B" w:rsidRPr="00685827">
        <w:t>Table </w:t>
      </w:r>
      <w:r w:rsidR="00664DC6" w:rsidRPr="00685827">
        <w:t>4</w:t>
      </w:r>
      <w:r w:rsidR="00BC6FD9" w:rsidRPr="00685827">
        <w:t>:</w:t>
      </w:r>
      <w:r w:rsidR="00782621" w:rsidRPr="00685827">
        <w:t xml:space="preserve"> </w:t>
      </w:r>
      <w:r w:rsidR="00664DC6" w:rsidRPr="00685827">
        <w:t>Total standard spending assessments for each council</w:t>
      </w:r>
    </w:p>
    <w:tbl>
      <w:tblPr>
        <w:tblW w:w="9816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  <w:tblDescription w:val="Table 4: Total standard spending assessments for each council"/>
      </w:tblPr>
      <w:tblGrid>
        <w:gridCol w:w="4977"/>
        <w:gridCol w:w="2268"/>
        <w:gridCol w:w="2571"/>
      </w:tblGrid>
      <w:tr w:rsidR="000D07BE" w:rsidRPr="001E4877" w14:paraId="1D5CA8FA" w14:textId="77777777" w:rsidTr="001B0D0C">
        <w:trPr>
          <w:cantSplit/>
        </w:trPr>
        <w:tc>
          <w:tcPr>
            <w:tcW w:w="497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FC68236" w14:textId="6F671012" w:rsidR="000D07BE" w:rsidRPr="001B0D0C" w:rsidRDefault="000D07BE" w:rsidP="001B0D0C">
            <w:pPr>
              <w:rPr>
                <w:b/>
                <w:bCs/>
              </w:rPr>
            </w:pPr>
            <w:r w:rsidRPr="001B0D0C">
              <w:rPr>
                <w:b/>
                <w:bCs/>
              </w:rPr>
              <w:t>County and county borough councils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D7E5711" w14:textId="4BECFFD4" w:rsidR="000D07BE" w:rsidRPr="001B0D0C" w:rsidRDefault="000D07BE" w:rsidP="001B0D0C">
            <w:pPr>
              <w:jc w:val="right"/>
              <w:rPr>
                <w:b/>
                <w:bCs/>
              </w:rPr>
            </w:pPr>
            <w:r w:rsidRPr="001B0D0C">
              <w:rPr>
                <w:b/>
                <w:bCs/>
              </w:rPr>
              <w:t>£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2DEEDFB" w14:textId="324558C5" w:rsidR="000D07BE" w:rsidRPr="001B0D0C" w:rsidRDefault="000D07BE" w:rsidP="001B0D0C">
            <w:pPr>
              <w:jc w:val="right"/>
              <w:rPr>
                <w:b/>
                <w:bCs/>
              </w:rPr>
            </w:pPr>
            <w:r w:rsidRPr="001B0D0C">
              <w:rPr>
                <w:b/>
                <w:bCs/>
              </w:rPr>
              <w:t>£ per head of population</w:t>
            </w:r>
            <w:r w:rsidRPr="001B0D0C">
              <w:rPr>
                <w:b/>
                <w:bCs/>
              </w:rPr>
              <w:footnoteReference w:id="9"/>
            </w:r>
          </w:p>
        </w:tc>
      </w:tr>
      <w:tr w:rsidR="000D07BE" w:rsidRPr="00394A5B" w14:paraId="5D44B377" w14:textId="77777777" w:rsidTr="001B0D0C">
        <w:trPr>
          <w:cantSplit/>
        </w:trPr>
        <w:tc>
          <w:tcPr>
            <w:tcW w:w="4977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0A782152" w14:textId="77777777" w:rsidR="000D07BE" w:rsidRPr="00394A5B" w:rsidRDefault="000D07BE" w:rsidP="000D07BE">
            <w:pPr>
              <w:pStyle w:val="TableRowText"/>
            </w:pPr>
            <w:r w:rsidRPr="00394A5B">
              <w:t>Isle of Anglesey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DA2F971" w14:textId="5F8D3229" w:rsidR="000D07BE" w:rsidRPr="00394A5B" w:rsidRDefault="000D07BE" w:rsidP="000D07BE">
            <w:pPr>
              <w:pStyle w:val="TableText"/>
            </w:pPr>
            <w:r w:rsidRPr="00394A5B">
              <w:t xml:space="preserve">      159,694,534 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04835CD" w14:textId="598B8C4A" w:rsidR="000D07BE" w:rsidRPr="00394A5B" w:rsidRDefault="000D07BE" w:rsidP="000D07BE">
            <w:pPr>
              <w:pStyle w:val="TableText"/>
            </w:pPr>
            <w:r w:rsidRPr="00394A5B">
              <w:t xml:space="preserve">           2,286 </w:t>
            </w:r>
          </w:p>
        </w:tc>
      </w:tr>
      <w:tr w:rsidR="000D07BE" w:rsidRPr="00394A5B" w14:paraId="07847731" w14:textId="77777777" w:rsidTr="001B0D0C">
        <w:trPr>
          <w:cantSplit/>
        </w:trPr>
        <w:tc>
          <w:tcPr>
            <w:tcW w:w="4977" w:type="dxa"/>
            <w:shd w:val="clear" w:color="000000" w:fill="FFFFFF"/>
            <w:vAlign w:val="center"/>
            <w:hideMark/>
          </w:tcPr>
          <w:p w14:paraId="2FA5CCB3" w14:textId="77777777" w:rsidR="000D07BE" w:rsidRPr="00394A5B" w:rsidRDefault="000D07BE" w:rsidP="000D07BE">
            <w:pPr>
              <w:pStyle w:val="TableRowText"/>
            </w:pPr>
            <w:r w:rsidRPr="00394A5B">
              <w:t>Gwynedd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6AABB29" w14:textId="49DAA1B5" w:rsidR="000D07BE" w:rsidRPr="00394A5B" w:rsidRDefault="000D07BE" w:rsidP="000D07BE">
            <w:pPr>
              <w:pStyle w:val="TableText"/>
            </w:pPr>
            <w:r w:rsidRPr="00394A5B">
              <w:t xml:space="preserve">      285,018,159 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EDAB5FC" w14:textId="6A5E4B52" w:rsidR="000D07BE" w:rsidRPr="00394A5B" w:rsidRDefault="000D07BE" w:rsidP="000D07BE">
            <w:pPr>
              <w:pStyle w:val="TableText"/>
            </w:pPr>
            <w:r w:rsidRPr="00394A5B">
              <w:t xml:space="preserve">           2,276 </w:t>
            </w:r>
          </w:p>
        </w:tc>
      </w:tr>
      <w:tr w:rsidR="000D07BE" w:rsidRPr="00394A5B" w14:paraId="5D35A9A8" w14:textId="77777777" w:rsidTr="001B0D0C">
        <w:trPr>
          <w:cantSplit/>
        </w:trPr>
        <w:tc>
          <w:tcPr>
            <w:tcW w:w="4977" w:type="dxa"/>
            <w:shd w:val="clear" w:color="000000" w:fill="FFFFFF"/>
            <w:vAlign w:val="center"/>
            <w:hideMark/>
          </w:tcPr>
          <w:p w14:paraId="7FDD42D4" w14:textId="77777777" w:rsidR="000D07BE" w:rsidRPr="00394A5B" w:rsidRDefault="000D07BE" w:rsidP="000D07BE">
            <w:pPr>
              <w:pStyle w:val="TableRowText"/>
            </w:pPr>
            <w:r w:rsidRPr="00394A5B">
              <w:t>Conwy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659A969" w14:textId="4A66CC88" w:rsidR="000D07BE" w:rsidRPr="00394A5B" w:rsidRDefault="000D07BE" w:rsidP="000D07BE">
            <w:pPr>
              <w:pStyle w:val="TableText"/>
            </w:pPr>
            <w:r w:rsidRPr="00394A5B">
              <w:t xml:space="preserve">      258,257,472 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8C51EA7" w14:textId="69061481" w:rsidR="000D07BE" w:rsidRPr="00394A5B" w:rsidRDefault="000D07BE" w:rsidP="000D07BE">
            <w:pPr>
              <w:pStyle w:val="TableText"/>
            </w:pPr>
            <w:r w:rsidRPr="00394A5B">
              <w:t xml:space="preserve">           2,183 </w:t>
            </w:r>
          </w:p>
        </w:tc>
      </w:tr>
      <w:tr w:rsidR="000D07BE" w:rsidRPr="00394A5B" w14:paraId="2575C7C5" w14:textId="77777777" w:rsidTr="001B0D0C">
        <w:trPr>
          <w:cantSplit/>
        </w:trPr>
        <w:tc>
          <w:tcPr>
            <w:tcW w:w="4977" w:type="dxa"/>
            <w:shd w:val="clear" w:color="000000" w:fill="FFFFFF"/>
            <w:vAlign w:val="center"/>
            <w:hideMark/>
          </w:tcPr>
          <w:p w14:paraId="6EBA8CB0" w14:textId="77777777" w:rsidR="000D07BE" w:rsidRPr="00394A5B" w:rsidRDefault="000D07BE" w:rsidP="000D07BE">
            <w:pPr>
              <w:pStyle w:val="TableRowText"/>
            </w:pPr>
            <w:r w:rsidRPr="00394A5B">
              <w:t>Denbighshire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5B4230B" w14:textId="1DE81607" w:rsidR="000D07BE" w:rsidRPr="00394A5B" w:rsidRDefault="000D07BE" w:rsidP="000D07BE">
            <w:pPr>
              <w:pStyle w:val="TableText"/>
            </w:pPr>
            <w:r w:rsidRPr="00394A5B">
              <w:t xml:space="preserve">      232,885,549 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AB10E12" w14:textId="383449C8" w:rsidR="000D07BE" w:rsidRPr="00394A5B" w:rsidRDefault="000D07BE" w:rsidP="000D07BE">
            <w:pPr>
              <w:pStyle w:val="TableText"/>
            </w:pPr>
            <w:r w:rsidRPr="00394A5B">
              <w:t xml:space="preserve">           2,425 </w:t>
            </w:r>
          </w:p>
        </w:tc>
      </w:tr>
      <w:tr w:rsidR="000D07BE" w:rsidRPr="00394A5B" w14:paraId="09D6B406" w14:textId="77777777" w:rsidTr="001B0D0C">
        <w:trPr>
          <w:cantSplit/>
        </w:trPr>
        <w:tc>
          <w:tcPr>
            <w:tcW w:w="4977" w:type="dxa"/>
            <w:shd w:val="clear" w:color="000000" w:fill="FFFFFF"/>
            <w:vAlign w:val="center"/>
            <w:hideMark/>
          </w:tcPr>
          <w:p w14:paraId="327D9461" w14:textId="77777777" w:rsidR="000D07BE" w:rsidRPr="00394A5B" w:rsidRDefault="000D07BE" w:rsidP="000D07BE">
            <w:pPr>
              <w:pStyle w:val="TableRowText"/>
            </w:pPr>
            <w:r w:rsidRPr="00394A5B">
              <w:t>Flintshire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6B20F7A" w14:textId="04820F32" w:rsidR="000D07BE" w:rsidRPr="00394A5B" w:rsidRDefault="000D07BE" w:rsidP="000D07BE">
            <w:pPr>
              <w:pStyle w:val="TableText"/>
            </w:pPr>
            <w:r w:rsidRPr="00394A5B">
              <w:t xml:space="preserve">      327,774,396 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80884AD" w14:textId="30623FB8" w:rsidR="000D07BE" w:rsidRPr="00394A5B" w:rsidRDefault="000D07BE" w:rsidP="000D07BE">
            <w:pPr>
              <w:pStyle w:val="TableText"/>
            </w:pPr>
            <w:r w:rsidRPr="00394A5B">
              <w:t xml:space="preserve">           2,084 </w:t>
            </w:r>
          </w:p>
        </w:tc>
      </w:tr>
      <w:tr w:rsidR="000D07BE" w:rsidRPr="00394A5B" w14:paraId="6DD4A89E" w14:textId="77777777" w:rsidTr="001B0D0C">
        <w:trPr>
          <w:cantSplit/>
        </w:trPr>
        <w:tc>
          <w:tcPr>
            <w:tcW w:w="4977" w:type="dxa"/>
            <w:shd w:val="clear" w:color="000000" w:fill="FFFFFF"/>
            <w:vAlign w:val="center"/>
            <w:hideMark/>
          </w:tcPr>
          <w:p w14:paraId="0CC4EF1F" w14:textId="77777777" w:rsidR="000D07BE" w:rsidRPr="00394A5B" w:rsidRDefault="000D07BE" w:rsidP="000D07BE">
            <w:pPr>
              <w:pStyle w:val="TableRowText"/>
            </w:pPr>
            <w:r w:rsidRPr="00394A5B">
              <w:t>Wrexham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A1640CA" w14:textId="7BD5E8A9" w:rsidR="000D07BE" w:rsidRPr="00394A5B" w:rsidRDefault="000D07BE" w:rsidP="000D07BE">
            <w:pPr>
              <w:pStyle w:val="TableText"/>
            </w:pPr>
            <w:r w:rsidRPr="00394A5B">
              <w:t xml:space="preserve">      286,512,389 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2C07EFE" w14:textId="68E4BF95" w:rsidR="000D07BE" w:rsidRPr="00394A5B" w:rsidRDefault="000D07BE" w:rsidP="000D07BE">
            <w:pPr>
              <w:pStyle w:val="TableText"/>
            </w:pPr>
            <w:r w:rsidRPr="00394A5B">
              <w:t xml:space="preserve">           2,098 </w:t>
            </w:r>
          </w:p>
        </w:tc>
      </w:tr>
      <w:tr w:rsidR="000D07BE" w:rsidRPr="00394A5B" w14:paraId="6DAC7467" w14:textId="77777777" w:rsidTr="001B0D0C">
        <w:trPr>
          <w:cantSplit/>
        </w:trPr>
        <w:tc>
          <w:tcPr>
            <w:tcW w:w="4977" w:type="dxa"/>
            <w:shd w:val="clear" w:color="000000" w:fill="FFFFFF"/>
            <w:vAlign w:val="center"/>
            <w:hideMark/>
          </w:tcPr>
          <w:p w14:paraId="1255A725" w14:textId="77777777" w:rsidR="000D07BE" w:rsidRPr="00394A5B" w:rsidRDefault="000D07BE" w:rsidP="000D07BE">
            <w:pPr>
              <w:pStyle w:val="TableRowText"/>
            </w:pPr>
            <w:r w:rsidRPr="00394A5B">
              <w:t>Powys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AF9DFB9" w14:textId="7293EE97" w:rsidR="000D07BE" w:rsidRPr="00394A5B" w:rsidRDefault="000D07BE" w:rsidP="000D07BE">
            <w:pPr>
              <w:pStyle w:val="TableText"/>
            </w:pPr>
            <w:r w:rsidRPr="00394A5B">
              <w:t xml:space="preserve">      301,936,877 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F08BFA1" w14:textId="00C80082" w:rsidR="000D07BE" w:rsidRPr="00394A5B" w:rsidRDefault="000D07BE" w:rsidP="000D07BE">
            <w:pPr>
              <w:pStyle w:val="TableText"/>
            </w:pPr>
            <w:r w:rsidRPr="00394A5B">
              <w:t xml:space="preserve">           2,278 </w:t>
            </w:r>
          </w:p>
        </w:tc>
      </w:tr>
      <w:tr w:rsidR="000D07BE" w:rsidRPr="00394A5B" w14:paraId="0E293DB6" w14:textId="77777777" w:rsidTr="001B0D0C">
        <w:trPr>
          <w:cantSplit/>
        </w:trPr>
        <w:tc>
          <w:tcPr>
            <w:tcW w:w="4977" w:type="dxa"/>
            <w:shd w:val="clear" w:color="000000" w:fill="FFFFFF"/>
            <w:vAlign w:val="center"/>
            <w:hideMark/>
          </w:tcPr>
          <w:p w14:paraId="0BFA895C" w14:textId="77777777" w:rsidR="000D07BE" w:rsidRPr="00394A5B" w:rsidRDefault="000D07BE" w:rsidP="000D07BE">
            <w:pPr>
              <w:pStyle w:val="TableRowText"/>
            </w:pPr>
            <w:r w:rsidRPr="00394A5B">
              <w:t>Ceredigion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5743E4E" w14:textId="7F44BD20" w:rsidR="000D07BE" w:rsidRPr="00394A5B" w:rsidRDefault="000D07BE" w:rsidP="000D07BE">
            <w:pPr>
              <w:pStyle w:val="TableText"/>
            </w:pPr>
            <w:r w:rsidRPr="00394A5B">
              <w:t xml:space="preserve">      166,374,653 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786EC6E" w14:textId="41F8054D" w:rsidR="000D07BE" w:rsidRPr="00394A5B" w:rsidRDefault="000D07BE" w:rsidP="000D07BE">
            <w:pPr>
              <w:pStyle w:val="TableText"/>
            </w:pPr>
            <w:r w:rsidRPr="00394A5B">
              <w:t xml:space="preserve">           2,338 </w:t>
            </w:r>
          </w:p>
        </w:tc>
      </w:tr>
      <w:tr w:rsidR="000D07BE" w:rsidRPr="00394A5B" w14:paraId="3D9EA092" w14:textId="77777777" w:rsidTr="001B0D0C">
        <w:trPr>
          <w:cantSplit/>
        </w:trPr>
        <w:tc>
          <w:tcPr>
            <w:tcW w:w="4977" w:type="dxa"/>
            <w:shd w:val="clear" w:color="000000" w:fill="FFFFFF"/>
            <w:vAlign w:val="center"/>
            <w:hideMark/>
          </w:tcPr>
          <w:p w14:paraId="5F312B6F" w14:textId="77777777" w:rsidR="000D07BE" w:rsidRPr="00394A5B" w:rsidRDefault="000D07BE" w:rsidP="000D07BE">
            <w:pPr>
              <w:pStyle w:val="TableRowText"/>
            </w:pPr>
            <w:r w:rsidRPr="00394A5B">
              <w:t>Pembrokeshire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C5C23A0" w14:textId="3509F705" w:rsidR="000D07BE" w:rsidRPr="00394A5B" w:rsidRDefault="000D07BE" w:rsidP="000D07BE">
            <w:pPr>
              <w:pStyle w:val="TableText"/>
            </w:pPr>
            <w:r w:rsidRPr="00394A5B">
              <w:t xml:space="preserve">      279,067,752 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5CFBD50" w14:textId="3A1D83AF" w:rsidR="000D07BE" w:rsidRPr="00394A5B" w:rsidRDefault="000D07BE" w:rsidP="000D07BE">
            <w:pPr>
              <w:pStyle w:val="TableText"/>
            </w:pPr>
            <w:r w:rsidRPr="00394A5B">
              <w:t xml:space="preserve">           2,210 </w:t>
            </w:r>
          </w:p>
        </w:tc>
      </w:tr>
      <w:tr w:rsidR="000D07BE" w:rsidRPr="00394A5B" w14:paraId="19CBC873" w14:textId="77777777" w:rsidTr="001B0D0C">
        <w:trPr>
          <w:cantSplit/>
        </w:trPr>
        <w:tc>
          <w:tcPr>
            <w:tcW w:w="4977" w:type="dxa"/>
            <w:shd w:val="clear" w:color="000000" w:fill="FFFFFF"/>
            <w:vAlign w:val="center"/>
            <w:hideMark/>
          </w:tcPr>
          <w:p w14:paraId="0982DA48" w14:textId="77777777" w:rsidR="000D07BE" w:rsidRPr="00394A5B" w:rsidRDefault="000D07BE" w:rsidP="000D07BE">
            <w:pPr>
              <w:pStyle w:val="TableRowText"/>
            </w:pPr>
            <w:r w:rsidRPr="00394A5B">
              <w:t>Carmarthenshire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BFCBC71" w14:textId="69743F2C" w:rsidR="000D07BE" w:rsidRPr="00394A5B" w:rsidRDefault="000D07BE" w:rsidP="000D07BE">
            <w:pPr>
              <w:pStyle w:val="TableText"/>
            </w:pPr>
            <w:r w:rsidRPr="00394A5B">
              <w:t xml:space="preserve">      422,883,798 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9D63569" w14:textId="79C70F64" w:rsidR="000D07BE" w:rsidRPr="00394A5B" w:rsidRDefault="000D07BE" w:rsidP="000D07BE">
            <w:pPr>
              <w:pStyle w:val="TableText"/>
            </w:pPr>
            <w:r w:rsidRPr="00394A5B">
              <w:t xml:space="preserve">           2,231 </w:t>
            </w:r>
          </w:p>
        </w:tc>
      </w:tr>
      <w:tr w:rsidR="000D07BE" w:rsidRPr="00394A5B" w14:paraId="2ADB00D9" w14:textId="77777777" w:rsidTr="001B0D0C">
        <w:trPr>
          <w:cantSplit/>
        </w:trPr>
        <w:tc>
          <w:tcPr>
            <w:tcW w:w="4977" w:type="dxa"/>
            <w:shd w:val="clear" w:color="000000" w:fill="FFFFFF"/>
            <w:vAlign w:val="center"/>
            <w:hideMark/>
          </w:tcPr>
          <w:p w14:paraId="39D5AC4F" w14:textId="77777777" w:rsidR="000D07BE" w:rsidRPr="00394A5B" w:rsidRDefault="000D07BE" w:rsidP="000D07BE">
            <w:pPr>
              <w:pStyle w:val="TableRowText"/>
            </w:pPr>
            <w:r w:rsidRPr="00394A5B">
              <w:t>Swansea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54025F2" w14:textId="5E87B7F2" w:rsidR="000D07BE" w:rsidRPr="00394A5B" w:rsidRDefault="000D07BE" w:rsidP="000D07BE">
            <w:pPr>
              <w:pStyle w:val="TableText"/>
            </w:pPr>
            <w:r w:rsidRPr="00394A5B">
              <w:t xml:space="preserve">      523,214,225 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8FC8730" w14:textId="3A5D9142" w:rsidR="000D07BE" w:rsidRPr="00394A5B" w:rsidRDefault="000D07BE" w:rsidP="000D07BE">
            <w:pPr>
              <w:pStyle w:val="TableText"/>
            </w:pPr>
            <w:r w:rsidRPr="00394A5B">
              <w:t xml:space="preserve">           2,099 </w:t>
            </w:r>
          </w:p>
        </w:tc>
      </w:tr>
      <w:tr w:rsidR="000D07BE" w:rsidRPr="00394A5B" w14:paraId="6FD77421" w14:textId="77777777" w:rsidTr="001B0D0C">
        <w:trPr>
          <w:cantSplit/>
        </w:trPr>
        <w:tc>
          <w:tcPr>
            <w:tcW w:w="4977" w:type="dxa"/>
            <w:shd w:val="clear" w:color="000000" w:fill="FFFFFF"/>
            <w:vAlign w:val="center"/>
            <w:hideMark/>
          </w:tcPr>
          <w:p w14:paraId="2EBC5874" w14:textId="77777777" w:rsidR="000D07BE" w:rsidRPr="00394A5B" w:rsidRDefault="000D07BE" w:rsidP="000D07BE">
            <w:pPr>
              <w:pStyle w:val="TableRowText"/>
            </w:pPr>
            <w:r w:rsidRPr="00394A5B">
              <w:t>Neath Port Talbot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A9A28E5" w14:textId="6A50F677" w:rsidR="000D07BE" w:rsidRPr="00394A5B" w:rsidRDefault="000D07BE" w:rsidP="000D07BE">
            <w:pPr>
              <w:pStyle w:val="TableText"/>
            </w:pPr>
            <w:r w:rsidRPr="00394A5B">
              <w:t xml:space="preserve">      330,166,240 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71F88FF" w14:textId="4EC84168" w:rsidR="000D07BE" w:rsidRPr="00394A5B" w:rsidRDefault="000D07BE" w:rsidP="000D07BE">
            <w:pPr>
              <w:pStyle w:val="TableText"/>
            </w:pPr>
            <w:r w:rsidRPr="00394A5B">
              <w:t xml:space="preserve">           2,286 </w:t>
            </w:r>
          </w:p>
        </w:tc>
      </w:tr>
      <w:tr w:rsidR="000D07BE" w:rsidRPr="00394A5B" w14:paraId="5C85F4E6" w14:textId="77777777" w:rsidTr="001B0D0C">
        <w:trPr>
          <w:cantSplit/>
        </w:trPr>
        <w:tc>
          <w:tcPr>
            <w:tcW w:w="4977" w:type="dxa"/>
            <w:shd w:val="clear" w:color="000000" w:fill="FFFFFF"/>
            <w:vAlign w:val="center"/>
            <w:hideMark/>
          </w:tcPr>
          <w:p w14:paraId="378EF97E" w14:textId="77777777" w:rsidR="000D07BE" w:rsidRPr="00394A5B" w:rsidRDefault="000D07BE" w:rsidP="000D07BE">
            <w:pPr>
              <w:pStyle w:val="TableRowText"/>
            </w:pPr>
            <w:r w:rsidRPr="00394A5B">
              <w:t>Bridgend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3063902" w14:textId="5E8CE88C" w:rsidR="000D07BE" w:rsidRPr="00394A5B" w:rsidRDefault="000D07BE" w:rsidP="000D07BE">
            <w:pPr>
              <w:pStyle w:val="TableText"/>
            </w:pPr>
            <w:r w:rsidRPr="00394A5B">
              <w:t xml:space="preserve">      313,662,722 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0C5BA3A" w14:textId="573E576C" w:rsidR="000D07BE" w:rsidRPr="00394A5B" w:rsidRDefault="000D07BE" w:rsidP="000D07BE">
            <w:pPr>
              <w:pStyle w:val="TableText"/>
            </w:pPr>
            <w:r w:rsidRPr="00394A5B">
              <w:t xml:space="preserve">           2,121 </w:t>
            </w:r>
          </w:p>
        </w:tc>
      </w:tr>
      <w:tr w:rsidR="000D07BE" w:rsidRPr="00394A5B" w14:paraId="2A169721" w14:textId="77777777" w:rsidTr="001B0D0C">
        <w:trPr>
          <w:cantSplit/>
        </w:trPr>
        <w:tc>
          <w:tcPr>
            <w:tcW w:w="4977" w:type="dxa"/>
            <w:shd w:val="clear" w:color="000000" w:fill="FFFFFF"/>
            <w:vAlign w:val="center"/>
            <w:hideMark/>
          </w:tcPr>
          <w:p w14:paraId="1A110462" w14:textId="77777777" w:rsidR="000D07BE" w:rsidRPr="00394A5B" w:rsidRDefault="000D07BE" w:rsidP="000D07BE">
            <w:pPr>
              <w:pStyle w:val="TableRowText"/>
            </w:pPr>
            <w:r w:rsidRPr="00394A5B">
              <w:t>Vale of Glamorgan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9E1DB80" w14:textId="366C588E" w:rsidR="000D07BE" w:rsidRPr="00394A5B" w:rsidRDefault="000D07BE" w:rsidP="000D07BE">
            <w:pPr>
              <w:pStyle w:val="TableText"/>
            </w:pPr>
            <w:r w:rsidRPr="00394A5B">
              <w:t xml:space="preserve">      278,715,047 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8AE8450" w14:textId="64086395" w:rsidR="000D07BE" w:rsidRPr="00394A5B" w:rsidRDefault="000D07BE" w:rsidP="000D07BE">
            <w:pPr>
              <w:pStyle w:val="TableText"/>
            </w:pPr>
            <w:r w:rsidRPr="00394A5B">
              <w:t xml:space="preserve">           2,055 </w:t>
            </w:r>
          </w:p>
        </w:tc>
      </w:tr>
      <w:tr w:rsidR="000D07BE" w:rsidRPr="00394A5B" w14:paraId="3CCD9263" w14:textId="77777777" w:rsidTr="001B0D0C">
        <w:trPr>
          <w:cantSplit/>
        </w:trPr>
        <w:tc>
          <w:tcPr>
            <w:tcW w:w="4977" w:type="dxa"/>
            <w:shd w:val="clear" w:color="000000" w:fill="FFFFFF"/>
            <w:vAlign w:val="center"/>
            <w:hideMark/>
          </w:tcPr>
          <w:p w14:paraId="3FB08AF4" w14:textId="77777777" w:rsidR="000D07BE" w:rsidRPr="00394A5B" w:rsidRDefault="000D07BE" w:rsidP="000D07BE">
            <w:pPr>
              <w:pStyle w:val="TableRowText"/>
            </w:pPr>
            <w:r w:rsidRPr="00394A5B">
              <w:t>Rhondda Cynon Taf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2CF94CB" w14:textId="4C0E64D4" w:rsidR="000D07BE" w:rsidRPr="00394A5B" w:rsidRDefault="000D07BE" w:rsidP="000D07BE">
            <w:pPr>
              <w:pStyle w:val="TableText"/>
            </w:pPr>
            <w:r w:rsidRPr="00394A5B">
              <w:t xml:space="preserve">      557,542,135 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08C2E01" w14:textId="0ED4B7C4" w:rsidR="000D07BE" w:rsidRPr="00394A5B" w:rsidRDefault="000D07BE" w:rsidP="000D07BE">
            <w:pPr>
              <w:pStyle w:val="TableText"/>
            </w:pPr>
            <w:r w:rsidRPr="00394A5B">
              <w:t xml:space="preserve">           2,296 </w:t>
            </w:r>
          </w:p>
        </w:tc>
      </w:tr>
      <w:tr w:rsidR="000D07BE" w:rsidRPr="00394A5B" w14:paraId="68C2D8C5" w14:textId="77777777" w:rsidTr="001B0D0C">
        <w:trPr>
          <w:cantSplit/>
        </w:trPr>
        <w:tc>
          <w:tcPr>
            <w:tcW w:w="4977" w:type="dxa"/>
            <w:shd w:val="clear" w:color="000000" w:fill="FFFFFF"/>
            <w:vAlign w:val="center"/>
            <w:hideMark/>
          </w:tcPr>
          <w:p w14:paraId="3575B862" w14:textId="77777777" w:rsidR="000D07BE" w:rsidRPr="00394A5B" w:rsidRDefault="000D07BE" w:rsidP="000D07BE">
            <w:pPr>
              <w:pStyle w:val="TableRowText"/>
            </w:pPr>
            <w:r w:rsidRPr="00394A5B">
              <w:t>Merthyr Tydfil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02F47F8" w14:textId="72201389" w:rsidR="000D07BE" w:rsidRPr="00394A5B" w:rsidRDefault="000D07BE" w:rsidP="000D07BE">
            <w:pPr>
              <w:pStyle w:val="TableText"/>
            </w:pPr>
            <w:r w:rsidRPr="00394A5B">
              <w:t xml:space="preserve">      138,751,785 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0E8A9B2" w14:textId="6325004B" w:rsidR="000D07BE" w:rsidRPr="00394A5B" w:rsidRDefault="000D07BE" w:rsidP="000D07BE">
            <w:pPr>
              <w:pStyle w:val="TableText"/>
            </w:pPr>
            <w:r w:rsidRPr="00394A5B">
              <w:t xml:space="preserve">           2,278 </w:t>
            </w:r>
          </w:p>
        </w:tc>
      </w:tr>
      <w:tr w:rsidR="000D07BE" w:rsidRPr="00394A5B" w14:paraId="5D014EB2" w14:textId="77777777" w:rsidTr="001B0D0C">
        <w:trPr>
          <w:cantSplit/>
        </w:trPr>
        <w:tc>
          <w:tcPr>
            <w:tcW w:w="4977" w:type="dxa"/>
            <w:shd w:val="clear" w:color="000000" w:fill="FFFFFF"/>
            <w:vAlign w:val="center"/>
            <w:hideMark/>
          </w:tcPr>
          <w:p w14:paraId="1602F441" w14:textId="77777777" w:rsidR="000D07BE" w:rsidRPr="00394A5B" w:rsidRDefault="000D07BE" w:rsidP="000D07BE">
            <w:pPr>
              <w:pStyle w:val="TableRowText"/>
            </w:pPr>
            <w:r w:rsidRPr="00394A5B">
              <w:t>Caerphilly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A6130AB" w14:textId="31FC397F" w:rsidR="000D07BE" w:rsidRPr="00394A5B" w:rsidRDefault="000D07BE" w:rsidP="000D07BE">
            <w:pPr>
              <w:pStyle w:val="TableText"/>
            </w:pPr>
            <w:r w:rsidRPr="00394A5B">
              <w:t xml:space="preserve">      408,425,713 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D94B56F" w14:textId="2DDD5FE6" w:rsidR="000D07BE" w:rsidRPr="00394A5B" w:rsidRDefault="000D07BE" w:rsidP="000D07BE">
            <w:pPr>
              <w:pStyle w:val="TableText"/>
            </w:pPr>
            <w:r w:rsidRPr="00394A5B">
              <w:t xml:space="preserve">           2,243 </w:t>
            </w:r>
          </w:p>
        </w:tc>
      </w:tr>
      <w:tr w:rsidR="000D07BE" w:rsidRPr="00394A5B" w14:paraId="47380055" w14:textId="77777777" w:rsidTr="001B0D0C">
        <w:trPr>
          <w:cantSplit/>
        </w:trPr>
        <w:tc>
          <w:tcPr>
            <w:tcW w:w="4977" w:type="dxa"/>
            <w:shd w:val="clear" w:color="000000" w:fill="FFFFFF"/>
            <w:vAlign w:val="center"/>
            <w:hideMark/>
          </w:tcPr>
          <w:p w14:paraId="1634E7AC" w14:textId="77777777" w:rsidR="000D07BE" w:rsidRPr="00394A5B" w:rsidRDefault="000D07BE" w:rsidP="000D07BE">
            <w:pPr>
              <w:pStyle w:val="TableRowText"/>
            </w:pPr>
            <w:r w:rsidRPr="00394A5B">
              <w:t>Blaenau Gwent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6A85F45" w14:textId="517378D3" w:rsidR="000D07BE" w:rsidRPr="00394A5B" w:rsidRDefault="000D07BE" w:rsidP="000D07BE">
            <w:pPr>
              <w:pStyle w:val="TableText"/>
            </w:pPr>
            <w:r w:rsidRPr="00394A5B">
              <w:t xml:space="preserve">      162,716,102 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45B8CDF" w14:textId="4F10A6AE" w:rsidR="000D07BE" w:rsidRPr="00394A5B" w:rsidRDefault="000D07BE" w:rsidP="000D07BE">
            <w:pPr>
              <w:pStyle w:val="TableText"/>
            </w:pPr>
            <w:r w:rsidRPr="00394A5B">
              <w:t xml:space="preserve">           2,340 </w:t>
            </w:r>
          </w:p>
        </w:tc>
      </w:tr>
      <w:tr w:rsidR="000D07BE" w:rsidRPr="00394A5B" w14:paraId="15F1B889" w14:textId="77777777" w:rsidTr="001B0D0C">
        <w:trPr>
          <w:cantSplit/>
        </w:trPr>
        <w:tc>
          <w:tcPr>
            <w:tcW w:w="4977" w:type="dxa"/>
            <w:shd w:val="clear" w:color="000000" w:fill="FFFFFF"/>
            <w:vAlign w:val="center"/>
            <w:hideMark/>
          </w:tcPr>
          <w:p w14:paraId="4A7194FF" w14:textId="77777777" w:rsidR="000D07BE" w:rsidRPr="00394A5B" w:rsidRDefault="000D07BE" w:rsidP="000D07BE">
            <w:pPr>
              <w:pStyle w:val="TableRowText"/>
            </w:pPr>
            <w:r w:rsidRPr="00394A5B">
              <w:t>Torfaen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26DC57F" w14:textId="762128FD" w:rsidR="000D07BE" w:rsidRPr="00394A5B" w:rsidRDefault="000D07BE" w:rsidP="000D07BE">
            <w:pPr>
              <w:pStyle w:val="TableText"/>
            </w:pPr>
            <w:r w:rsidRPr="00394A5B">
              <w:t xml:space="preserve">      210,731,900 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83E37DB" w14:textId="1D723925" w:rsidR="000D07BE" w:rsidRPr="00394A5B" w:rsidRDefault="000D07BE" w:rsidP="000D07BE">
            <w:pPr>
              <w:pStyle w:val="TableText"/>
            </w:pPr>
            <w:r w:rsidRPr="00394A5B">
              <w:t xml:space="preserve">           2,239 </w:t>
            </w:r>
          </w:p>
        </w:tc>
      </w:tr>
      <w:tr w:rsidR="000D07BE" w:rsidRPr="00394A5B" w14:paraId="0CE5B743" w14:textId="77777777" w:rsidTr="001B0D0C">
        <w:trPr>
          <w:cantSplit/>
        </w:trPr>
        <w:tc>
          <w:tcPr>
            <w:tcW w:w="4977" w:type="dxa"/>
            <w:shd w:val="clear" w:color="000000" w:fill="FFFFFF"/>
            <w:vAlign w:val="center"/>
            <w:hideMark/>
          </w:tcPr>
          <w:p w14:paraId="7541206E" w14:textId="77777777" w:rsidR="000D07BE" w:rsidRPr="00394A5B" w:rsidRDefault="000D07BE" w:rsidP="000D07BE">
            <w:pPr>
              <w:pStyle w:val="TableRowText"/>
            </w:pPr>
            <w:r w:rsidRPr="00394A5B">
              <w:t>Monmouthshire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E8612CC" w14:textId="21AB3A52" w:rsidR="000D07BE" w:rsidRPr="00394A5B" w:rsidRDefault="000D07BE" w:rsidP="000D07BE">
            <w:pPr>
              <w:pStyle w:val="TableText"/>
            </w:pPr>
            <w:r w:rsidRPr="00394A5B">
              <w:t xml:space="preserve">      181,781,076 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88BF93E" w14:textId="47A53941" w:rsidR="000D07BE" w:rsidRPr="00394A5B" w:rsidRDefault="000D07BE" w:rsidP="000D07BE">
            <w:pPr>
              <w:pStyle w:val="TableText"/>
            </w:pPr>
            <w:r w:rsidRPr="00394A5B">
              <w:t xml:space="preserve">           1,904 </w:t>
            </w:r>
          </w:p>
        </w:tc>
      </w:tr>
      <w:tr w:rsidR="000D07BE" w:rsidRPr="00394A5B" w14:paraId="6F4A9ADA" w14:textId="77777777" w:rsidTr="001B0D0C">
        <w:trPr>
          <w:cantSplit/>
        </w:trPr>
        <w:tc>
          <w:tcPr>
            <w:tcW w:w="4977" w:type="dxa"/>
            <w:tcBorders>
              <w:bottom w:val="nil"/>
            </w:tcBorders>
            <w:shd w:val="clear" w:color="000000" w:fill="FFFFFF"/>
            <w:vAlign w:val="center"/>
            <w:hideMark/>
          </w:tcPr>
          <w:p w14:paraId="63B442DB" w14:textId="77777777" w:rsidR="000D07BE" w:rsidRPr="00394A5B" w:rsidRDefault="000D07BE" w:rsidP="000D07BE">
            <w:pPr>
              <w:pStyle w:val="TableRowText"/>
            </w:pPr>
            <w:r w:rsidRPr="00394A5B">
              <w:t>Newport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575AA45" w14:textId="10C241D9" w:rsidR="000D07BE" w:rsidRPr="00394A5B" w:rsidRDefault="000D07BE" w:rsidP="000D07BE">
            <w:pPr>
              <w:pStyle w:val="TableText"/>
            </w:pPr>
            <w:r w:rsidRPr="00394A5B">
              <w:t xml:space="preserve">      355,440,825 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E11E352" w14:textId="44912FC4" w:rsidR="000D07BE" w:rsidRPr="00394A5B" w:rsidRDefault="000D07BE" w:rsidP="000D07BE">
            <w:pPr>
              <w:pStyle w:val="TableText"/>
            </w:pPr>
            <w:r w:rsidRPr="00394A5B">
              <w:t xml:space="preserve">           2,247 </w:t>
            </w:r>
          </w:p>
        </w:tc>
      </w:tr>
      <w:tr w:rsidR="000D07BE" w:rsidRPr="00394A5B" w14:paraId="3F3C4323" w14:textId="77777777" w:rsidTr="001B0D0C">
        <w:trPr>
          <w:cantSplit/>
        </w:trPr>
        <w:tc>
          <w:tcPr>
            <w:tcW w:w="4977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C2383C6" w14:textId="77777777" w:rsidR="000D07BE" w:rsidRPr="00394A5B" w:rsidRDefault="000D07BE" w:rsidP="000D07BE">
            <w:pPr>
              <w:pStyle w:val="TableRowText"/>
            </w:pPr>
            <w:r w:rsidRPr="00394A5B">
              <w:t>Cardiff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19831009" w14:textId="52EE264A" w:rsidR="000D07BE" w:rsidRPr="00394A5B" w:rsidRDefault="000D07BE" w:rsidP="000D07BE">
            <w:pPr>
              <w:pStyle w:val="TableText"/>
            </w:pPr>
            <w:r w:rsidRPr="00394A5B">
              <w:t xml:space="preserve">      763,986,408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540AD939" w14:textId="4C25329E" w:rsidR="000D07BE" w:rsidRPr="00394A5B" w:rsidRDefault="000D07BE" w:rsidP="000D07BE">
            <w:pPr>
              <w:pStyle w:val="TableText"/>
            </w:pPr>
            <w:r w:rsidRPr="00394A5B">
              <w:t xml:space="preserve">           2,076 </w:t>
            </w:r>
          </w:p>
        </w:tc>
      </w:tr>
      <w:tr w:rsidR="000D07BE" w:rsidRPr="00394A5B" w14:paraId="5979901F" w14:textId="77777777" w:rsidTr="001B0D0C">
        <w:trPr>
          <w:cantSplit/>
          <w:trHeight w:hRule="exact" w:val="341"/>
        </w:trPr>
        <w:tc>
          <w:tcPr>
            <w:tcW w:w="497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3DBD54A" w14:textId="001720D7" w:rsidR="000D07BE" w:rsidRPr="00394A5B" w:rsidRDefault="000D07BE" w:rsidP="000D07BE">
            <w:pPr>
              <w:pStyle w:val="TableRowText"/>
              <w:rPr>
                <w:b/>
              </w:rPr>
            </w:pPr>
            <w:r w:rsidRPr="00394A5B">
              <w:rPr>
                <w:b/>
              </w:rPr>
              <w:t>Wales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7EA97FA3" w14:textId="0D1A7C54" w:rsidR="000D07BE" w:rsidRPr="00394A5B" w:rsidRDefault="000D07BE" w:rsidP="000D07BE">
            <w:pPr>
              <w:pStyle w:val="TableText"/>
              <w:rPr>
                <w:b/>
                <w:bCs/>
                <w:highlight w:val="yellow"/>
              </w:rPr>
            </w:pPr>
            <w:r w:rsidRPr="00394A5B">
              <w:rPr>
                <w:b/>
                <w:bCs/>
              </w:rPr>
              <w:t xml:space="preserve">       6,945,539,760 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47927AB0" w14:textId="21A68A75" w:rsidR="000D07BE" w:rsidRPr="00394A5B" w:rsidRDefault="000D07BE" w:rsidP="000D07BE">
            <w:pPr>
              <w:pStyle w:val="TableText"/>
              <w:rPr>
                <w:b/>
                <w:bCs/>
                <w:highlight w:val="yellow"/>
              </w:rPr>
            </w:pPr>
            <w:r w:rsidRPr="00394A5B">
              <w:rPr>
                <w:b/>
                <w:bCs/>
              </w:rPr>
              <w:t xml:space="preserve">               2,190 </w:t>
            </w:r>
          </w:p>
        </w:tc>
      </w:tr>
    </w:tbl>
    <w:p w14:paraId="279ADB77" w14:textId="07EC13D6" w:rsidR="007E0154" w:rsidRPr="00394A5B" w:rsidRDefault="004B3C96" w:rsidP="00D9375C">
      <w:pPr>
        <w:pStyle w:val="TableNotes"/>
      </w:pPr>
      <w:r w:rsidRPr="00394A5B">
        <w:t>Notes:</w:t>
      </w:r>
      <w:r w:rsidRPr="00394A5B">
        <w:tab/>
        <w:t xml:space="preserve">Due to rounding, </w:t>
      </w:r>
      <w:r w:rsidR="00F824B8" w:rsidRPr="00394A5B">
        <w:t>SSA</w:t>
      </w:r>
      <w:r w:rsidRPr="00394A5B">
        <w:t xml:space="preserve"> for all </w:t>
      </w:r>
      <w:r w:rsidR="00685827">
        <w:t>the </w:t>
      </w:r>
      <w:r w:rsidRPr="00394A5B">
        <w:t xml:space="preserve">county and county borough councils may not add to </w:t>
      </w:r>
      <w:r w:rsidR="00685827">
        <w:t>the </w:t>
      </w:r>
      <w:r w:rsidRPr="00394A5B">
        <w:t xml:space="preserve">Wales total </w:t>
      </w:r>
    </w:p>
    <w:p w14:paraId="530F9A3F" w14:textId="2E77B077" w:rsidR="00664DC6" w:rsidRPr="00394A5B" w:rsidRDefault="00664DC6" w:rsidP="00076E09">
      <w:pPr>
        <w:pStyle w:val="Heading2"/>
      </w:pPr>
      <w:r w:rsidRPr="00394A5B">
        <w:rPr>
          <w:rFonts w:cs="Arial"/>
          <w:i/>
        </w:rPr>
        <w:br w:type="page"/>
      </w:r>
      <w:bookmarkStart w:id="47" w:name="_Toc435431407"/>
      <w:bookmarkStart w:id="48" w:name="_Toc58999032"/>
      <w:bookmarkStart w:id="49" w:name="_Toc434935724"/>
      <w:bookmarkStart w:id="50" w:name="_Toc434935978"/>
      <w:r w:rsidR="00B472B0" w:rsidRPr="00394A5B">
        <w:t>A</w:t>
      </w:r>
      <w:r w:rsidR="009149FC" w:rsidRPr="00394A5B">
        <w:t>nnex</w:t>
      </w:r>
      <w:r w:rsidR="00B472B0" w:rsidRPr="00394A5B">
        <w:t xml:space="preserve"> 3</w:t>
      </w:r>
      <w:r w:rsidR="00A60AFE" w:rsidRPr="00394A5B">
        <w:t xml:space="preserve">: </w:t>
      </w:r>
      <w:r w:rsidR="00B472B0" w:rsidRPr="00394A5B">
        <w:t xml:space="preserve">Glossary and Explanatory </w:t>
      </w:r>
      <w:r w:rsidR="00782621" w:rsidRPr="00394A5B">
        <w:t>Notes</w:t>
      </w:r>
      <w:bookmarkEnd w:id="47"/>
      <w:bookmarkEnd w:id="48"/>
      <w:r w:rsidR="00782621" w:rsidRPr="00394A5B">
        <w:t xml:space="preserve"> </w:t>
      </w:r>
      <w:bookmarkEnd w:id="49"/>
      <w:bookmarkEnd w:id="50"/>
    </w:p>
    <w:p w14:paraId="64FB688C" w14:textId="27D0DD90" w:rsidR="00664DC6" w:rsidRPr="00394A5B" w:rsidRDefault="00664DC6" w:rsidP="001677BE">
      <w:pPr>
        <w:pStyle w:val="BodyText"/>
        <w:rPr>
          <w:rFonts w:cs="Arial"/>
        </w:rPr>
      </w:pPr>
      <w:r w:rsidRPr="00394A5B">
        <w:rPr>
          <w:rFonts w:cs="Arial"/>
        </w:rPr>
        <w:t xml:space="preserve">This glossary offers explanations of some of </w:t>
      </w:r>
      <w:r w:rsidR="00685827">
        <w:rPr>
          <w:rFonts w:cs="Arial"/>
        </w:rPr>
        <w:t>the </w:t>
      </w:r>
      <w:r w:rsidRPr="00394A5B">
        <w:rPr>
          <w:rFonts w:cs="Arial"/>
        </w:rPr>
        <w:t xml:space="preserve">key technical terms used in </w:t>
      </w:r>
      <w:r w:rsidR="00685827">
        <w:rPr>
          <w:rFonts w:cs="Arial"/>
        </w:rPr>
        <w:t>the </w:t>
      </w:r>
      <w:r w:rsidRPr="00394A5B">
        <w:rPr>
          <w:rFonts w:cs="Arial"/>
        </w:rPr>
        <w:t>report.</w:t>
      </w:r>
    </w:p>
    <w:p w14:paraId="7DB0DBAC" w14:textId="4EFEAFE7" w:rsidR="00664DC6" w:rsidRPr="00394A5B" w:rsidRDefault="00664DC6" w:rsidP="003D4E26">
      <w:pPr>
        <w:rPr>
          <w:rFonts w:cs="Arial"/>
        </w:rPr>
      </w:pPr>
      <w:r w:rsidRPr="00394A5B">
        <w:rPr>
          <w:rFonts w:cs="Arial"/>
          <w:b/>
        </w:rPr>
        <w:t>Band D equivalent</w:t>
      </w:r>
      <w:r w:rsidRPr="00394A5B">
        <w:rPr>
          <w:rFonts w:cs="Arial"/>
        </w:rPr>
        <w:t xml:space="preserve"> </w:t>
      </w:r>
      <w:r w:rsidRPr="00394A5B">
        <w:rPr>
          <w:rFonts w:cs="Arial"/>
          <w:b/>
        </w:rPr>
        <w:t>properties</w:t>
      </w:r>
      <w:r w:rsidR="00503112" w:rsidRPr="00394A5B">
        <w:rPr>
          <w:rFonts w:cs="Arial"/>
          <w:b/>
        </w:rPr>
        <w:t>:</w:t>
      </w:r>
      <w:r w:rsidRPr="00394A5B">
        <w:rPr>
          <w:rFonts w:cs="Arial"/>
        </w:rPr>
        <w:t xml:space="preserve"> For </w:t>
      </w:r>
      <w:r w:rsidR="00685827">
        <w:rPr>
          <w:rFonts w:cs="Arial"/>
        </w:rPr>
        <w:t>the </w:t>
      </w:r>
      <w:r w:rsidRPr="00394A5B">
        <w:rPr>
          <w:rFonts w:cs="Arial"/>
        </w:rPr>
        <w:t xml:space="preserve">purposes of </w:t>
      </w:r>
      <w:r w:rsidR="00685827">
        <w:rPr>
          <w:rFonts w:cs="Arial"/>
        </w:rPr>
        <w:t>the </w:t>
      </w:r>
      <w:r w:rsidRPr="00394A5B">
        <w:rPr>
          <w:rFonts w:cs="Arial"/>
        </w:rPr>
        <w:t>council tax, each property has been given a valuation in terms of a band</w:t>
      </w:r>
      <w:r w:rsidR="00885552" w:rsidRPr="00394A5B">
        <w:rPr>
          <w:rFonts w:cs="Arial"/>
        </w:rPr>
        <w:t xml:space="preserve">.  </w:t>
      </w:r>
      <w:r w:rsidRPr="00394A5B">
        <w:rPr>
          <w:rFonts w:cs="Arial"/>
        </w:rPr>
        <w:t xml:space="preserve">These bands range from band A up to band I and </w:t>
      </w:r>
      <w:r w:rsidR="00685827">
        <w:rPr>
          <w:rFonts w:cs="Arial"/>
        </w:rPr>
        <w:t>the </w:t>
      </w:r>
      <w:r w:rsidRPr="00394A5B">
        <w:rPr>
          <w:rFonts w:cs="Arial"/>
        </w:rPr>
        <w:t>council tax bills for each band vary according to a set of multipliers</w:t>
      </w:r>
      <w:r w:rsidR="00885552" w:rsidRPr="00394A5B">
        <w:rPr>
          <w:rFonts w:cs="Arial"/>
        </w:rPr>
        <w:t xml:space="preserve">.  </w:t>
      </w:r>
      <w:r w:rsidRPr="00394A5B">
        <w:rPr>
          <w:rFonts w:cs="Arial"/>
        </w:rPr>
        <w:t xml:space="preserve">These multipliers vary from sixth ninths for a band A property to two and three-ninths for a band I property while </w:t>
      </w:r>
      <w:r w:rsidR="00685827">
        <w:rPr>
          <w:rFonts w:cs="Arial"/>
        </w:rPr>
        <w:t>the </w:t>
      </w:r>
      <w:r w:rsidRPr="00394A5B">
        <w:rPr>
          <w:rFonts w:cs="Arial"/>
        </w:rPr>
        <w:t>multiplier for a band D property is one</w:t>
      </w:r>
      <w:r w:rsidR="00885552" w:rsidRPr="00394A5B">
        <w:rPr>
          <w:rFonts w:cs="Arial"/>
        </w:rPr>
        <w:t xml:space="preserve">.  </w:t>
      </w:r>
      <w:r w:rsidR="00394A5B">
        <w:rPr>
          <w:rFonts w:cs="Arial"/>
        </w:rPr>
        <w:t>The </w:t>
      </w:r>
      <w:r w:rsidRPr="00394A5B">
        <w:rPr>
          <w:rFonts w:cs="Arial"/>
        </w:rPr>
        <w:t xml:space="preserve">number of band D equivalent properties in an authority is </w:t>
      </w:r>
      <w:r w:rsidR="00685827">
        <w:rPr>
          <w:rFonts w:cs="Arial"/>
        </w:rPr>
        <w:t>the </w:t>
      </w:r>
      <w:r w:rsidRPr="00394A5B">
        <w:rPr>
          <w:rFonts w:cs="Arial"/>
        </w:rPr>
        <w:t>total number of domestic dwellings expressed in terms of their relation to band D</w:t>
      </w:r>
      <w:r w:rsidR="00885552" w:rsidRPr="00394A5B">
        <w:rPr>
          <w:rFonts w:cs="Arial"/>
        </w:rPr>
        <w:t xml:space="preserve">.  </w:t>
      </w:r>
      <w:r w:rsidRPr="00394A5B">
        <w:rPr>
          <w:rFonts w:cs="Arial"/>
        </w:rPr>
        <w:t>For example, one band H property is equivalent to two band D properties, because it pays twice as much council tax.</w:t>
      </w:r>
    </w:p>
    <w:p w14:paraId="5FDB964E" w14:textId="7A84A2B7" w:rsidR="00664DC6" w:rsidRPr="00394A5B" w:rsidRDefault="00664DC6" w:rsidP="003D4E26">
      <w:pPr>
        <w:rPr>
          <w:rFonts w:cs="Arial"/>
        </w:rPr>
      </w:pPr>
      <w:r w:rsidRPr="00394A5B">
        <w:rPr>
          <w:rFonts w:cs="Arial"/>
          <w:b/>
        </w:rPr>
        <w:t>Billing Authorities</w:t>
      </w:r>
      <w:r w:rsidRPr="00394A5B">
        <w:rPr>
          <w:rFonts w:cs="Arial"/>
        </w:rPr>
        <w:t xml:space="preserve"> are local authorities empowered to set local charges and issue bills for </w:t>
      </w:r>
      <w:r w:rsidR="00685827">
        <w:rPr>
          <w:rFonts w:cs="Arial"/>
        </w:rPr>
        <w:t>the </w:t>
      </w:r>
      <w:r w:rsidRPr="00394A5B">
        <w:rPr>
          <w:rFonts w:cs="Arial"/>
        </w:rPr>
        <w:t xml:space="preserve">council tax and </w:t>
      </w:r>
      <w:r w:rsidR="00685827">
        <w:rPr>
          <w:rFonts w:cs="Arial"/>
        </w:rPr>
        <w:t>the </w:t>
      </w:r>
      <w:r w:rsidRPr="00394A5B">
        <w:rPr>
          <w:rFonts w:cs="Arial"/>
        </w:rPr>
        <w:t xml:space="preserve">non-domestic rates on behalf of itself and other authorities in </w:t>
      </w:r>
      <w:r w:rsidR="00685827">
        <w:rPr>
          <w:rFonts w:cs="Arial"/>
        </w:rPr>
        <w:t>the </w:t>
      </w:r>
      <w:r w:rsidRPr="00394A5B">
        <w:rPr>
          <w:rFonts w:cs="Arial"/>
        </w:rPr>
        <w:t>area</w:t>
      </w:r>
      <w:r w:rsidR="00885552" w:rsidRPr="00394A5B">
        <w:rPr>
          <w:rFonts w:cs="Arial"/>
        </w:rPr>
        <w:t xml:space="preserve">.  </w:t>
      </w:r>
      <w:r w:rsidRPr="00394A5B">
        <w:rPr>
          <w:rFonts w:cs="Arial"/>
        </w:rPr>
        <w:t xml:space="preserve">In Wales, </w:t>
      </w:r>
      <w:r w:rsidR="00685827">
        <w:rPr>
          <w:rFonts w:cs="Arial"/>
        </w:rPr>
        <w:t>the </w:t>
      </w:r>
      <w:r w:rsidRPr="00394A5B">
        <w:rPr>
          <w:rFonts w:cs="Arial"/>
        </w:rPr>
        <w:t>billing authorities are county and county borough councils.</w:t>
      </w:r>
    </w:p>
    <w:p w14:paraId="63A60C40" w14:textId="79015CA0" w:rsidR="00664DC6" w:rsidRPr="00394A5B" w:rsidRDefault="00664DC6" w:rsidP="003D4E26">
      <w:pPr>
        <w:rPr>
          <w:rFonts w:cs="Arial"/>
        </w:rPr>
      </w:pPr>
      <w:r w:rsidRPr="00394A5B">
        <w:rPr>
          <w:rFonts w:cs="Arial"/>
          <w:b/>
        </w:rPr>
        <w:t>Council Tax Base</w:t>
      </w:r>
      <w:r w:rsidRPr="00394A5B">
        <w:rPr>
          <w:rFonts w:cs="Arial"/>
        </w:rPr>
        <w:t xml:space="preserve"> of an area is equal to </w:t>
      </w:r>
      <w:r w:rsidR="00685827">
        <w:rPr>
          <w:rFonts w:cs="Arial"/>
        </w:rPr>
        <w:t>the </w:t>
      </w:r>
      <w:r w:rsidRPr="00394A5B">
        <w:rPr>
          <w:rFonts w:cs="Arial"/>
        </w:rPr>
        <w:t>number of band D equivalent properties, after adjustment for discounts and exemptions</w:t>
      </w:r>
      <w:r w:rsidR="00885552" w:rsidRPr="00394A5B">
        <w:rPr>
          <w:rFonts w:cs="Arial"/>
        </w:rPr>
        <w:t xml:space="preserve">.  </w:t>
      </w:r>
      <w:r w:rsidRPr="00394A5B">
        <w:rPr>
          <w:rFonts w:cs="Arial"/>
        </w:rPr>
        <w:t>Discounts are available to people who live alone, and to owners of homes that are not anyone’s main home</w:t>
      </w:r>
      <w:r w:rsidR="00885552" w:rsidRPr="00394A5B">
        <w:rPr>
          <w:rFonts w:cs="Arial"/>
        </w:rPr>
        <w:t xml:space="preserve">.  </w:t>
      </w:r>
      <w:r w:rsidRPr="00394A5B">
        <w:rPr>
          <w:rFonts w:cs="Arial"/>
        </w:rPr>
        <w:t xml:space="preserve">Council </w:t>
      </w:r>
      <w:r w:rsidR="00782621" w:rsidRPr="00394A5B">
        <w:rPr>
          <w:rFonts w:cs="Arial"/>
        </w:rPr>
        <w:t xml:space="preserve">tax </w:t>
      </w:r>
      <w:r w:rsidRPr="00394A5B">
        <w:rPr>
          <w:rFonts w:cs="Arial"/>
        </w:rPr>
        <w:t>is not charged for certain properties, known as exempt properties, such as those lived in only by students</w:t>
      </w:r>
      <w:r w:rsidR="00885552" w:rsidRPr="00394A5B">
        <w:rPr>
          <w:rFonts w:cs="Arial"/>
        </w:rPr>
        <w:t xml:space="preserve">.  </w:t>
      </w:r>
      <w:r w:rsidR="00394A5B">
        <w:rPr>
          <w:rFonts w:cs="Arial"/>
        </w:rPr>
        <w:t>The </w:t>
      </w:r>
      <w:r w:rsidRPr="00394A5B">
        <w:rPr>
          <w:rFonts w:cs="Arial"/>
        </w:rPr>
        <w:t xml:space="preserve">description of how </w:t>
      </w:r>
      <w:r w:rsidR="00685827">
        <w:rPr>
          <w:rFonts w:cs="Arial"/>
        </w:rPr>
        <w:t>the </w:t>
      </w:r>
      <w:r w:rsidRPr="00394A5B">
        <w:rPr>
          <w:rFonts w:cs="Arial"/>
        </w:rPr>
        <w:t>tax</w:t>
      </w:r>
      <w:r w:rsidR="00782621" w:rsidRPr="00394A5B">
        <w:rPr>
          <w:rFonts w:cs="Arial"/>
        </w:rPr>
        <w:t>-</w:t>
      </w:r>
      <w:r w:rsidRPr="00394A5B">
        <w:rPr>
          <w:rFonts w:cs="Arial"/>
        </w:rPr>
        <w:t xml:space="preserve">base is calculated and used in </w:t>
      </w:r>
      <w:r w:rsidR="00685827">
        <w:rPr>
          <w:rFonts w:cs="Arial"/>
        </w:rPr>
        <w:t>the </w:t>
      </w:r>
      <w:r w:rsidRPr="00394A5B">
        <w:rPr>
          <w:rFonts w:cs="Arial"/>
        </w:rPr>
        <w:t xml:space="preserve">calculation of RSG is at </w:t>
      </w:r>
      <w:r w:rsidR="00394A5B">
        <w:rPr>
          <w:rFonts w:cs="Arial"/>
        </w:rPr>
        <w:t>paragraph </w:t>
      </w:r>
      <w:r w:rsidRPr="00394A5B">
        <w:rPr>
          <w:rFonts w:cs="Arial"/>
        </w:rPr>
        <w:t>3.5 in section 2 of this Report.</w:t>
      </w:r>
    </w:p>
    <w:p w14:paraId="10720EEF" w14:textId="3D5F370F" w:rsidR="00664DC6" w:rsidRPr="00394A5B" w:rsidRDefault="00664DC6" w:rsidP="003D4E26">
      <w:pPr>
        <w:rPr>
          <w:rFonts w:cs="Arial"/>
        </w:rPr>
      </w:pPr>
      <w:r w:rsidRPr="00394A5B">
        <w:rPr>
          <w:rFonts w:cs="Arial"/>
          <w:b/>
        </w:rPr>
        <w:t>Council Tax for Standard Spending</w:t>
      </w:r>
      <w:r w:rsidRPr="00394A5B">
        <w:rPr>
          <w:rFonts w:cs="Arial"/>
        </w:rPr>
        <w:t xml:space="preserve"> is </w:t>
      </w:r>
      <w:r w:rsidR="00685827">
        <w:rPr>
          <w:rFonts w:cs="Arial"/>
        </w:rPr>
        <w:t>the </w:t>
      </w:r>
      <w:r w:rsidRPr="00394A5B">
        <w:rPr>
          <w:rFonts w:cs="Arial"/>
        </w:rPr>
        <w:t xml:space="preserve">level of council tax for a band D property which would be charged in all parts of Wales if all </w:t>
      </w:r>
      <w:r w:rsidR="002C1209" w:rsidRPr="00394A5B">
        <w:rPr>
          <w:rFonts w:cs="Arial"/>
        </w:rPr>
        <w:t>C</w:t>
      </w:r>
      <w:r w:rsidRPr="00394A5B">
        <w:rPr>
          <w:rFonts w:cs="Arial"/>
        </w:rPr>
        <w:t xml:space="preserve">ouncils and </w:t>
      </w:r>
      <w:r w:rsidR="00BB349B" w:rsidRPr="00394A5B">
        <w:rPr>
          <w:rFonts w:cs="Arial"/>
        </w:rPr>
        <w:t>police force areas</w:t>
      </w:r>
      <w:r w:rsidRPr="00394A5B">
        <w:rPr>
          <w:rFonts w:cs="Arial"/>
        </w:rPr>
        <w:t xml:space="preserve"> spent at </w:t>
      </w:r>
      <w:r w:rsidR="00685827">
        <w:rPr>
          <w:rFonts w:cs="Arial"/>
        </w:rPr>
        <w:t>the </w:t>
      </w:r>
      <w:r w:rsidRPr="00394A5B">
        <w:rPr>
          <w:rFonts w:cs="Arial"/>
        </w:rPr>
        <w:t>level of their SSA</w:t>
      </w:r>
      <w:r w:rsidR="00885552" w:rsidRPr="00394A5B">
        <w:rPr>
          <w:rFonts w:cs="Arial"/>
        </w:rPr>
        <w:t xml:space="preserve">.  </w:t>
      </w:r>
      <w:r w:rsidRPr="00394A5B">
        <w:rPr>
          <w:rFonts w:cs="Arial"/>
        </w:rPr>
        <w:t xml:space="preserve">This figure is used to work out how </w:t>
      </w:r>
      <w:r w:rsidR="00685827">
        <w:rPr>
          <w:rFonts w:cs="Arial"/>
        </w:rPr>
        <w:t>the </w:t>
      </w:r>
      <w:r w:rsidRPr="00394A5B">
        <w:rPr>
          <w:rFonts w:cs="Arial"/>
        </w:rPr>
        <w:t xml:space="preserve">amount of RSG payable to </w:t>
      </w:r>
      <w:r w:rsidR="002C1209" w:rsidRPr="00394A5B">
        <w:rPr>
          <w:rFonts w:cs="Arial"/>
        </w:rPr>
        <w:t>C</w:t>
      </w:r>
      <w:r w:rsidRPr="00394A5B">
        <w:rPr>
          <w:rFonts w:cs="Arial"/>
        </w:rPr>
        <w:t xml:space="preserve">ouncils should be shared among them, and similarly how </w:t>
      </w:r>
      <w:r w:rsidR="00685827">
        <w:rPr>
          <w:rFonts w:cs="Arial"/>
        </w:rPr>
        <w:t>the </w:t>
      </w:r>
      <w:r w:rsidRPr="00394A5B">
        <w:rPr>
          <w:rFonts w:cs="Arial"/>
        </w:rPr>
        <w:t xml:space="preserve">amount of RSG payable to </w:t>
      </w:r>
      <w:r w:rsidR="00BB349B" w:rsidRPr="00394A5B">
        <w:rPr>
          <w:rFonts w:cs="Arial"/>
        </w:rPr>
        <w:t>Police and Crime Commissioners</w:t>
      </w:r>
      <w:r w:rsidRPr="00394A5B">
        <w:rPr>
          <w:rFonts w:cs="Arial"/>
        </w:rPr>
        <w:t xml:space="preserve"> should be shared out.</w:t>
      </w:r>
    </w:p>
    <w:p w14:paraId="40D13B06" w14:textId="4E3AD178" w:rsidR="00664DC6" w:rsidRPr="00394A5B" w:rsidRDefault="00664DC6" w:rsidP="003D4E26">
      <w:pPr>
        <w:rPr>
          <w:rFonts w:cs="Arial"/>
        </w:rPr>
      </w:pPr>
      <w:r w:rsidRPr="00394A5B">
        <w:rPr>
          <w:rFonts w:cs="Arial"/>
          <w:b/>
        </w:rPr>
        <w:t>Distribution Sub Group (DSG)</w:t>
      </w:r>
      <w:r w:rsidRPr="00394A5B">
        <w:rPr>
          <w:rFonts w:cs="Arial"/>
        </w:rPr>
        <w:t xml:space="preserve"> is a working group of </w:t>
      </w:r>
      <w:r w:rsidR="00685827">
        <w:rPr>
          <w:rFonts w:cs="Arial"/>
        </w:rPr>
        <w:t>the </w:t>
      </w:r>
      <w:r w:rsidRPr="00394A5B">
        <w:rPr>
          <w:rFonts w:cs="Arial"/>
        </w:rPr>
        <w:t>Partnership Council’s Consultative Forum on Finance</w:t>
      </w:r>
      <w:r w:rsidR="00885552" w:rsidRPr="00394A5B">
        <w:rPr>
          <w:rFonts w:cs="Arial"/>
        </w:rPr>
        <w:t xml:space="preserve">.  </w:t>
      </w:r>
      <w:r w:rsidRPr="00394A5B">
        <w:rPr>
          <w:rFonts w:cs="Arial"/>
        </w:rPr>
        <w:t xml:space="preserve">Copies of its reports, remits and details of membership are available from </w:t>
      </w:r>
      <w:r w:rsidR="00685827">
        <w:rPr>
          <w:rFonts w:cs="Arial"/>
        </w:rPr>
        <w:t>the </w:t>
      </w:r>
      <w:r w:rsidR="00E31AF0" w:rsidRPr="00394A5B">
        <w:rPr>
          <w:rFonts w:cs="Arial"/>
        </w:rPr>
        <w:t>Welsh Government’s</w:t>
      </w:r>
      <w:r w:rsidRPr="00394A5B">
        <w:rPr>
          <w:rFonts w:cs="Arial"/>
        </w:rPr>
        <w:t xml:space="preserve"> Local Government Finance Division.</w:t>
      </w:r>
    </w:p>
    <w:p w14:paraId="589F9B4E" w14:textId="083A6440" w:rsidR="00664DC6" w:rsidRPr="00394A5B" w:rsidRDefault="00664DC6" w:rsidP="003D4E26">
      <w:pPr>
        <w:rPr>
          <w:rFonts w:cs="Arial"/>
        </w:rPr>
      </w:pPr>
      <w:r w:rsidRPr="00394A5B">
        <w:rPr>
          <w:rFonts w:cs="Arial"/>
          <w:b/>
        </w:rPr>
        <w:t>Non-Domestic Rates</w:t>
      </w:r>
      <w:r w:rsidRPr="00394A5B">
        <w:rPr>
          <w:rFonts w:cs="Arial"/>
        </w:rPr>
        <w:t xml:space="preserve"> are </w:t>
      </w:r>
      <w:r w:rsidR="00685827">
        <w:rPr>
          <w:rFonts w:cs="Arial"/>
        </w:rPr>
        <w:t>the </w:t>
      </w:r>
      <w:r w:rsidRPr="00394A5B">
        <w:rPr>
          <w:rFonts w:cs="Arial"/>
        </w:rPr>
        <w:t xml:space="preserve">property tax paid by </w:t>
      </w:r>
      <w:r w:rsidR="008978AF" w:rsidRPr="00394A5B">
        <w:rPr>
          <w:rFonts w:cs="Arial"/>
        </w:rPr>
        <w:t>owners and occupiers of non-domestic property</w:t>
      </w:r>
      <w:r w:rsidR="00885552" w:rsidRPr="00394A5B">
        <w:rPr>
          <w:rFonts w:cs="Arial"/>
        </w:rPr>
        <w:t xml:space="preserve">.  </w:t>
      </w:r>
      <w:r w:rsidRPr="00394A5B">
        <w:rPr>
          <w:rFonts w:cs="Arial"/>
        </w:rPr>
        <w:t xml:space="preserve">All </w:t>
      </w:r>
      <w:r w:rsidR="008978AF" w:rsidRPr="00394A5B">
        <w:rPr>
          <w:rFonts w:cs="Arial"/>
        </w:rPr>
        <w:t xml:space="preserve">non-domestic </w:t>
      </w:r>
      <w:r w:rsidRPr="00394A5B">
        <w:rPr>
          <w:rFonts w:cs="Arial"/>
        </w:rPr>
        <w:t xml:space="preserve">rates are paid into a central pool administered by </w:t>
      </w:r>
      <w:r w:rsidR="00685827">
        <w:rPr>
          <w:rFonts w:cs="Arial"/>
        </w:rPr>
        <w:t>the </w:t>
      </w:r>
      <w:r w:rsidR="00E31AF0" w:rsidRPr="00394A5B">
        <w:rPr>
          <w:rFonts w:cs="Arial"/>
        </w:rPr>
        <w:t>Welsh Government</w:t>
      </w:r>
      <w:r w:rsidRPr="00394A5B">
        <w:rPr>
          <w:rFonts w:cs="Arial"/>
        </w:rPr>
        <w:t xml:space="preserve"> for redistribution to </w:t>
      </w:r>
      <w:r w:rsidR="008978AF" w:rsidRPr="00394A5B">
        <w:rPr>
          <w:rFonts w:cs="Arial"/>
        </w:rPr>
        <w:t>C</w:t>
      </w:r>
      <w:r w:rsidRPr="00394A5B">
        <w:rPr>
          <w:rFonts w:cs="Arial"/>
        </w:rPr>
        <w:t xml:space="preserve">ouncils and </w:t>
      </w:r>
      <w:r w:rsidR="00BB349B" w:rsidRPr="00394A5B">
        <w:rPr>
          <w:rFonts w:cs="Arial"/>
        </w:rPr>
        <w:t>Police and Crime Commissioners</w:t>
      </w:r>
      <w:r w:rsidRPr="00394A5B">
        <w:rPr>
          <w:rFonts w:cs="Arial"/>
        </w:rPr>
        <w:t>.</w:t>
      </w:r>
    </w:p>
    <w:p w14:paraId="283EF941" w14:textId="382640BC" w:rsidR="00305026" w:rsidRPr="00394A5B" w:rsidRDefault="00305026" w:rsidP="003D4E26">
      <w:pPr>
        <w:rPr>
          <w:rFonts w:cs="Arial"/>
          <w:b/>
        </w:rPr>
      </w:pPr>
      <w:r w:rsidRPr="00394A5B">
        <w:rPr>
          <w:rFonts w:cs="Arial"/>
          <w:b/>
        </w:rPr>
        <w:t>Qualifications affecting council tax calculation</w:t>
      </w:r>
      <w:r w:rsidRPr="00394A5B">
        <w:rPr>
          <w:rFonts w:cs="Arial"/>
        </w:rPr>
        <w:t xml:space="preserve"> RSG is distributed to enable each </w:t>
      </w:r>
      <w:r w:rsidR="002C1209" w:rsidRPr="00394A5B">
        <w:rPr>
          <w:rFonts w:cs="Arial"/>
        </w:rPr>
        <w:t>C</w:t>
      </w:r>
      <w:r w:rsidRPr="00394A5B">
        <w:rPr>
          <w:rFonts w:cs="Arial"/>
        </w:rPr>
        <w:t xml:space="preserve">ouncil to set broadly </w:t>
      </w:r>
      <w:r w:rsidR="00685827">
        <w:rPr>
          <w:rFonts w:cs="Arial"/>
        </w:rPr>
        <w:t>the </w:t>
      </w:r>
      <w:r w:rsidRPr="00394A5B">
        <w:rPr>
          <w:rFonts w:cs="Arial"/>
        </w:rPr>
        <w:t xml:space="preserve">same council tax for dwellings listed in </w:t>
      </w:r>
      <w:r w:rsidR="00685827">
        <w:rPr>
          <w:rFonts w:cs="Arial"/>
        </w:rPr>
        <w:t>the </w:t>
      </w:r>
      <w:r w:rsidRPr="00394A5B">
        <w:rPr>
          <w:rFonts w:cs="Arial"/>
        </w:rPr>
        <w:t>same valuation band</w:t>
      </w:r>
      <w:r w:rsidR="00885552" w:rsidRPr="00394A5B">
        <w:rPr>
          <w:rFonts w:cs="Arial"/>
        </w:rPr>
        <w:t xml:space="preserve">.  </w:t>
      </w:r>
      <w:r w:rsidRPr="00394A5B">
        <w:rPr>
          <w:rFonts w:cs="Arial"/>
        </w:rPr>
        <w:t xml:space="preserve">For each </w:t>
      </w:r>
      <w:r w:rsidR="002C1209" w:rsidRPr="00394A5B">
        <w:rPr>
          <w:rFonts w:cs="Arial"/>
        </w:rPr>
        <w:t>C</w:t>
      </w:r>
      <w:r w:rsidRPr="00394A5B">
        <w:rPr>
          <w:rFonts w:cs="Arial"/>
        </w:rPr>
        <w:t xml:space="preserve">ouncil it is assumed that </w:t>
      </w:r>
      <w:r w:rsidR="00685827">
        <w:rPr>
          <w:rFonts w:cs="Arial"/>
        </w:rPr>
        <w:t>the </w:t>
      </w:r>
      <w:r w:rsidRPr="00394A5B">
        <w:rPr>
          <w:rFonts w:cs="Arial"/>
        </w:rPr>
        <w:t xml:space="preserve">council tax base used for RSG distribution is calculated in accordance with </w:t>
      </w:r>
      <w:r w:rsidR="00685827">
        <w:rPr>
          <w:rFonts w:cs="Arial"/>
        </w:rPr>
        <w:t>the </w:t>
      </w:r>
      <w:r w:rsidRPr="00394A5B">
        <w:rPr>
          <w:rFonts w:cs="Arial"/>
        </w:rPr>
        <w:t>relevant secondary legislation (</w:t>
      </w:r>
      <w:r w:rsidR="00394A5B">
        <w:rPr>
          <w:rFonts w:cs="Arial"/>
        </w:rPr>
        <w:t>The </w:t>
      </w:r>
      <w:r w:rsidRPr="00394A5B">
        <w:rPr>
          <w:rFonts w:cs="Arial"/>
        </w:rPr>
        <w:t>Local Authorities (Calculation of Council Tax Base) (Wales</w:t>
      </w:r>
      <w:r w:rsidR="002E78D8" w:rsidRPr="00394A5B">
        <w:rPr>
          <w:rFonts w:cs="Arial"/>
        </w:rPr>
        <w:t>) Regulations 1995 SI 1995/2561</w:t>
      </w:r>
      <w:r w:rsidRPr="00394A5B">
        <w:rPr>
          <w:rFonts w:cs="Arial"/>
        </w:rPr>
        <w:t xml:space="preserve"> (as amended)</w:t>
      </w:r>
      <w:r w:rsidRPr="00394A5B">
        <w:rPr>
          <w:rStyle w:val="FootnoteReference"/>
          <w:rFonts w:cs="Arial"/>
        </w:rPr>
        <w:footnoteReference w:id="10"/>
      </w:r>
      <w:r w:rsidR="00885552" w:rsidRPr="00394A5B">
        <w:rPr>
          <w:rFonts w:cs="Arial"/>
        </w:rPr>
        <w:t xml:space="preserve">.  </w:t>
      </w:r>
      <w:r w:rsidRPr="00394A5B">
        <w:rPr>
          <w:rFonts w:cs="Arial"/>
        </w:rPr>
        <w:t xml:space="preserve">Secondly, it is assumed that </w:t>
      </w:r>
      <w:r w:rsidR="00685827">
        <w:rPr>
          <w:rFonts w:cs="Arial"/>
        </w:rPr>
        <w:t>the </w:t>
      </w:r>
      <w:r w:rsidRPr="00394A5B">
        <w:rPr>
          <w:rFonts w:cs="Arial"/>
        </w:rPr>
        <w:t xml:space="preserve">application of section 35 of </w:t>
      </w:r>
      <w:r w:rsidR="00685827">
        <w:rPr>
          <w:rFonts w:cs="Arial"/>
        </w:rPr>
        <w:t>the </w:t>
      </w:r>
      <w:r w:rsidRPr="00394A5B">
        <w:rPr>
          <w:rFonts w:cs="Arial"/>
        </w:rPr>
        <w:t xml:space="preserve">Local Government Finance Act 1992 (“special items”) will result in </w:t>
      </w:r>
      <w:r w:rsidR="00685827">
        <w:rPr>
          <w:rFonts w:cs="Arial"/>
        </w:rPr>
        <w:t>the </w:t>
      </w:r>
      <w:r w:rsidRPr="00394A5B">
        <w:rPr>
          <w:rFonts w:cs="Arial"/>
        </w:rPr>
        <w:t xml:space="preserve">same council tax for dwellings listed in </w:t>
      </w:r>
      <w:r w:rsidR="00685827">
        <w:rPr>
          <w:rFonts w:cs="Arial"/>
        </w:rPr>
        <w:t>the </w:t>
      </w:r>
      <w:r w:rsidRPr="00394A5B">
        <w:rPr>
          <w:rFonts w:cs="Arial"/>
        </w:rPr>
        <w:t xml:space="preserve">same valuation band across </w:t>
      </w:r>
      <w:r w:rsidR="00685827">
        <w:rPr>
          <w:rFonts w:cs="Arial"/>
        </w:rPr>
        <w:t>the </w:t>
      </w:r>
      <w:r w:rsidRPr="00394A5B">
        <w:rPr>
          <w:rFonts w:cs="Arial"/>
        </w:rPr>
        <w:t xml:space="preserve">whole of a </w:t>
      </w:r>
      <w:r w:rsidR="002C1209" w:rsidRPr="00394A5B">
        <w:rPr>
          <w:rFonts w:cs="Arial"/>
        </w:rPr>
        <w:t>C</w:t>
      </w:r>
      <w:r w:rsidRPr="00394A5B">
        <w:rPr>
          <w:rFonts w:cs="Arial"/>
        </w:rPr>
        <w:t>ouncil’s area.</w:t>
      </w:r>
    </w:p>
    <w:p w14:paraId="268003CE" w14:textId="533E8BF6" w:rsidR="00664DC6" w:rsidRPr="00394A5B" w:rsidRDefault="00664DC6" w:rsidP="003D4E26">
      <w:pPr>
        <w:rPr>
          <w:rFonts w:cs="Arial"/>
        </w:rPr>
      </w:pPr>
      <w:r w:rsidRPr="00394A5B">
        <w:rPr>
          <w:rFonts w:cs="Arial"/>
          <w:b/>
        </w:rPr>
        <w:t>Receiving Authorities</w:t>
      </w:r>
      <w:r w:rsidRPr="00394A5B">
        <w:rPr>
          <w:rFonts w:cs="Arial"/>
        </w:rPr>
        <w:t xml:space="preserve"> are </w:t>
      </w:r>
      <w:r w:rsidR="002C1209" w:rsidRPr="00394A5B">
        <w:rPr>
          <w:rFonts w:cs="Arial"/>
        </w:rPr>
        <w:t>C</w:t>
      </w:r>
      <w:r w:rsidRPr="00394A5B">
        <w:rPr>
          <w:rFonts w:cs="Arial"/>
        </w:rPr>
        <w:t>ouncils</w:t>
      </w:r>
      <w:r w:rsidR="00885552" w:rsidRPr="00394A5B">
        <w:rPr>
          <w:rFonts w:cs="Arial"/>
        </w:rPr>
        <w:t xml:space="preserve">.  </w:t>
      </w:r>
      <w:r w:rsidRPr="00394A5B">
        <w:rPr>
          <w:rFonts w:cs="Arial"/>
        </w:rPr>
        <w:t>RSG is paid to each receiving authority.</w:t>
      </w:r>
    </w:p>
    <w:p w14:paraId="6C4F285A" w14:textId="23002012" w:rsidR="00305026" w:rsidRPr="00394A5B" w:rsidRDefault="00305026" w:rsidP="003D4E26">
      <w:pPr>
        <w:rPr>
          <w:rFonts w:cs="Arial"/>
          <w:b/>
        </w:rPr>
      </w:pPr>
      <w:r w:rsidRPr="00394A5B">
        <w:rPr>
          <w:rFonts w:cs="Arial"/>
          <w:b/>
        </w:rPr>
        <w:t xml:space="preserve">Specified bodies </w:t>
      </w:r>
      <w:r w:rsidRPr="00394A5B">
        <w:rPr>
          <w:rFonts w:cs="Arial"/>
        </w:rPr>
        <w:t xml:space="preserve">are bodies which provide services for local authorities and are specified in </w:t>
      </w:r>
      <w:r w:rsidR="00685827">
        <w:rPr>
          <w:rFonts w:cs="Arial"/>
        </w:rPr>
        <w:t>the </w:t>
      </w:r>
      <w:r w:rsidRPr="00394A5B">
        <w:rPr>
          <w:rFonts w:cs="Arial"/>
        </w:rPr>
        <w:t xml:space="preserve">Revenue Support Grant (Specified Bodies) (Wales) Regulations 2000 </w:t>
      </w:r>
      <w:r w:rsidR="004E2890" w:rsidRPr="00394A5B">
        <w:rPr>
          <w:rFonts w:cs="Arial"/>
        </w:rPr>
        <w:t>(</w:t>
      </w:r>
      <w:r w:rsidRPr="00394A5B">
        <w:rPr>
          <w:rFonts w:cs="Arial"/>
        </w:rPr>
        <w:t>S</w:t>
      </w:r>
      <w:r w:rsidR="004E2890" w:rsidRPr="00394A5B">
        <w:rPr>
          <w:rFonts w:cs="Arial"/>
        </w:rPr>
        <w:t>.</w:t>
      </w:r>
      <w:r w:rsidRPr="00394A5B">
        <w:rPr>
          <w:rFonts w:cs="Arial"/>
        </w:rPr>
        <w:t>I</w:t>
      </w:r>
      <w:r w:rsidR="004E2890" w:rsidRPr="00394A5B">
        <w:rPr>
          <w:rFonts w:cs="Arial"/>
        </w:rPr>
        <w:t>.</w:t>
      </w:r>
      <w:r w:rsidRPr="00394A5B">
        <w:rPr>
          <w:rFonts w:cs="Arial"/>
        </w:rPr>
        <w:t xml:space="preserve"> 2000/718</w:t>
      </w:r>
      <w:r w:rsidR="004E2890" w:rsidRPr="00394A5B">
        <w:rPr>
          <w:rFonts w:cs="Arial"/>
        </w:rPr>
        <w:t>) (W. 25)</w:t>
      </w:r>
      <w:r w:rsidRPr="00394A5B">
        <w:rPr>
          <w:rFonts w:cs="Arial"/>
        </w:rPr>
        <w:t xml:space="preserve"> (as amended)</w:t>
      </w:r>
      <w:r w:rsidRPr="00394A5B">
        <w:rPr>
          <w:rStyle w:val="FootnoteReference"/>
          <w:rFonts w:cs="Arial"/>
        </w:rPr>
        <w:footnoteReference w:id="11"/>
      </w:r>
      <w:r w:rsidR="00612E46" w:rsidRPr="00394A5B">
        <w:rPr>
          <w:rFonts w:cs="Arial"/>
        </w:rPr>
        <w:t>.</w:t>
      </w:r>
    </w:p>
    <w:p w14:paraId="32389C15" w14:textId="629D10F2" w:rsidR="00664DC6" w:rsidRPr="00394A5B" w:rsidRDefault="00664DC6" w:rsidP="003D4E26">
      <w:pPr>
        <w:rPr>
          <w:rFonts w:cs="Arial"/>
          <w:b/>
        </w:rPr>
      </w:pPr>
      <w:r w:rsidRPr="00394A5B">
        <w:rPr>
          <w:rFonts w:cs="Arial"/>
          <w:b/>
        </w:rPr>
        <w:t>SSAs</w:t>
      </w:r>
      <w:r w:rsidRPr="00394A5B">
        <w:rPr>
          <w:rFonts w:cs="Arial"/>
        </w:rPr>
        <w:t xml:space="preserve"> (Standard Spending Assessments) are notional assessments for RSG distribution purposes of each </w:t>
      </w:r>
      <w:r w:rsidR="002C1209" w:rsidRPr="00394A5B">
        <w:rPr>
          <w:rFonts w:cs="Arial"/>
        </w:rPr>
        <w:t>C</w:t>
      </w:r>
      <w:r w:rsidRPr="00394A5B">
        <w:rPr>
          <w:rFonts w:cs="Arial"/>
        </w:rPr>
        <w:t>ouncil's need to spend on revenue services, excluding specific grants</w:t>
      </w:r>
      <w:r w:rsidR="00612E46" w:rsidRPr="00394A5B">
        <w:rPr>
          <w:rFonts w:cs="Arial"/>
        </w:rPr>
        <w:t>.</w:t>
      </w:r>
    </w:p>
    <w:p w14:paraId="6BE2DDB9" w14:textId="542D319F" w:rsidR="00664DC6" w:rsidRPr="00394A5B" w:rsidRDefault="00664DC6" w:rsidP="00931E3D">
      <w:pPr>
        <w:rPr>
          <w:rFonts w:cs="Arial"/>
          <w:b/>
          <w:szCs w:val="24"/>
        </w:rPr>
      </w:pPr>
      <w:r w:rsidRPr="00394A5B">
        <w:rPr>
          <w:rFonts w:cs="Arial"/>
          <w:b/>
          <w:szCs w:val="24"/>
        </w:rPr>
        <w:t>Standard tax element</w:t>
      </w:r>
      <w:r w:rsidRPr="00394A5B">
        <w:rPr>
          <w:rFonts w:cs="Arial"/>
          <w:szCs w:val="24"/>
        </w:rPr>
        <w:t xml:space="preserve"> is </w:t>
      </w:r>
      <w:r w:rsidR="00685827">
        <w:rPr>
          <w:rFonts w:cs="Arial"/>
          <w:szCs w:val="24"/>
        </w:rPr>
        <w:t>the </w:t>
      </w:r>
      <w:r w:rsidRPr="00394A5B">
        <w:rPr>
          <w:rFonts w:cs="Arial"/>
          <w:szCs w:val="24"/>
        </w:rPr>
        <w:t xml:space="preserve">portion of </w:t>
      </w:r>
      <w:r w:rsidR="00685827">
        <w:rPr>
          <w:rFonts w:cs="Arial"/>
          <w:szCs w:val="24"/>
        </w:rPr>
        <w:t>the </w:t>
      </w:r>
      <w:r w:rsidRPr="00394A5B">
        <w:rPr>
          <w:rFonts w:cs="Arial"/>
          <w:szCs w:val="24"/>
        </w:rPr>
        <w:t>council tax for standard spending attributable to each class of receiving authority</w:t>
      </w:r>
      <w:r w:rsidR="00885552" w:rsidRPr="00394A5B">
        <w:rPr>
          <w:rFonts w:cs="Arial"/>
          <w:szCs w:val="24"/>
        </w:rPr>
        <w:t xml:space="preserve">.  </w:t>
      </w:r>
      <w:r w:rsidRPr="00394A5B">
        <w:rPr>
          <w:rFonts w:cs="Arial"/>
          <w:szCs w:val="24"/>
        </w:rPr>
        <w:t xml:space="preserve">It is a common figure for each </w:t>
      </w:r>
      <w:r w:rsidR="002C1209" w:rsidRPr="00394A5B">
        <w:rPr>
          <w:rFonts w:cs="Arial"/>
          <w:szCs w:val="24"/>
        </w:rPr>
        <w:t xml:space="preserve">receiving </w:t>
      </w:r>
      <w:r w:rsidRPr="00394A5B">
        <w:rPr>
          <w:rFonts w:cs="Arial"/>
          <w:szCs w:val="24"/>
        </w:rPr>
        <w:t>authority within a class</w:t>
      </w:r>
      <w:r w:rsidR="00885552" w:rsidRPr="00394A5B">
        <w:rPr>
          <w:rFonts w:cs="Arial"/>
          <w:szCs w:val="24"/>
        </w:rPr>
        <w:t xml:space="preserve">.  </w:t>
      </w:r>
      <w:r w:rsidR="00394A5B">
        <w:rPr>
          <w:rFonts w:cs="Arial"/>
          <w:szCs w:val="24"/>
        </w:rPr>
        <w:t>The </w:t>
      </w:r>
      <w:r w:rsidRPr="00394A5B">
        <w:rPr>
          <w:rFonts w:cs="Arial"/>
          <w:szCs w:val="24"/>
        </w:rPr>
        <w:t xml:space="preserve">two classes of </w:t>
      </w:r>
      <w:r w:rsidR="002C1209" w:rsidRPr="00394A5B">
        <w:rPr>
          <w:rFonts w:cs="Arial"/>
          <w:szCs w:val="24"/>
        </w:rPr>
        <w:t xml:space="preserve">receiving </w:t>
      </w:r>
      <w:r w:rsidRPr="00394A5B">
        <w:rPr>
          <w:rFonts w:cs="Arial"/>
          <w:szCs w:val="24"/>
        </w:rPr>
        <w:t xml:space="preserve">authorities in Wales are </w:t>
      </w:r>
      <w:r w:rsidR="002C1209" w:rsidRPr="00394A5B">
        <w:rPr>
          <w:rFonts w:cs="Arial"/>
          <w:szCs w:val="24"/>
        </w:rPr>
        <w:t>C</w:t>
      </w:r>
      <w:r w:rsidRPr="00394A5B">
        <w:rPr>
          <w:rFonts w:cs="Arial"/>
          <w:szCs w:val="24"/>
        </w:rPr>
        <w:t xml:space="preserve">ouncils and </w:t>
      </w:r>
      <w:r w:rsidR="00BB349B" w:rsidRPr="00394A5B">
        <w:rPr>
          <w:rFonts w:cs="Arial"/>
          <w:szCs w:val="24"/>
        </w:rPr>
        <w:t>Police and Crime Commissioners</w:t>
      </w:r>
      <w:r w:rsidRPr="00394A5B">
        <w:rPr>
          <w:rFonts w:cs="Arial"/>
          <w:szCs w:val="24"/>
        </w:rPr>
        <w:t>.</w:t>
      </w:r>
    </w:p>
    <w:p w14:paraId="7960EEDA" w14:textId="6FF4F346" w:rsidR="00664DC6" w:rsidRPr="00394A5B" w:rsidRDefault="00664DC6" w:rsidP="00F87EC8">
      <w:pPr>
        <w:pStyle w:val="Heading2"/>
      </w:pPr>
      <w:r w:rsidRPr="00394A5B">
        <w:br w:type="page"/>
      </w:r>
      <w:bookmarkStart w:id="51" w:name="_Toc435431408"/>
      <w:bookmarkStart w:id="52" w:name="_Toc58999033"/>
      <w:r w:rsidRPr="00394A5B">
        <w:t>A</w:t>
      </w:r>
      <w:r w:rsidR="009149FC" w:rsidRPr="00394A5B">
        <w:t>nnex</w:t>
      </w:r>
      <w:r w:rsidRPr="00394A5B">
        <w:t xml:space="preserve"> 4</w:t>
      </w:r>
      <w:r w:rsidR="00A60AFE" w:rsidRPr="00394A5B">
        <w:t xml:space="preserve">: </w:t>
      </w:r>
      <w:r w:rsidR="00B472B0" w:rsidRPr="00394A5B">
        <w:t xml:space="preserve">Statutory </w:t>
      </w:r>
      <w:r w:rsidR="00782621" w:rsidRPr="00394A5B">
        <w:t xml:space="preserve">Basis </w:t>
      </w:r>
      <w:r w:rsidR="00B472B0" w:rsidRPr="00394A5B">
        <w:t xml:space="preserve">for </w:t>
      </w:r>
      <w:r w:rsidR="00685827">
        <w:t>the </w:t>
      </w:r>
      <w:r w:rsidR="00B472B0" w:rsidRPr="00394A5B">
        <w:t>Report</w:t>
      </w:r>
      <w:bookmarkEnd w:id="51"/>
      <w:bookmarkEnd w:id="52"/>
    </w:p>
    <w:p w14:paraId="2D59C0AB" w14:textId="187A939E" w:rsidR="00664DC6" w:rsidRPr="00394A5B" w:rsidRDefault="00394A5B" w:rsidP="00685827">
      <w:pPr>
        <w:numPr>
          <w:ilvl w:val="0"/>
          <w:numId w:val="15"/>
        </w:numPr>
        <w:tabs>
          <w:tab w:val="clear" w:pos="360"/>
        </w:tabs>
        <w:ind w:left="567" w:hanging="567"/>
        <w:rPr>
          <w:rFonts w:cs="Arial"/>
          <w:b/>
          <w:i/>
        </w:rPr>
      </w:pPr>
      <w:r>
        <w:rPr>
          <w:rFonts w:cs="Arial"/>
        </w:rPr>
        <w:t>The </w:t>
      </w:r>
      <w:r w:rsidR="00664DC6" w:rsidRPr="00394A5B">
        <w:rPr>
          <w:rFonts w:cs="Arial"/>
        </w:rPr>
        <w:t xml:space="preserve">Local Government Finance </w:t>
      </w:r>
      <w:r w:rsidR="00763A36" w:rsidRPr="00394A5B">
        <w:rPr>
          <w:rFonts w:cs="Arial"/>
        </w:rPr>
        <w:t xml:space="preserve">Report </w:t>
      </w:r>
      <w:r w:rsidR="00664DC6" w:rsidRPr="00394A5B">
        <w:rPr>
          <w:rFonts w:cs="Arial"/>
        </w:rPr>
        <w:t xml:space="preserve">is made under section 84G (Local government finance reports) of </w:t>
      </w:r>
      <w:r w:rsidR="00685827">
        <w:rPr>
          <w:rFonts w:cs="Arial"/>
        </w:rPr>
        <w:t>the </w:t>
      </w:r>
      <w:r w:rsidR="00664DC6" w:rsidRPr="00394A5B">
        <w:rPr>
          <w:rFonts w:cs="Arial"/>
        </w:rPr>
        <w:t xml:space="preserve">1988 Act as amended by </w:t>
      </w:r>
      <w:r w:rsidR="00685827">
        <w:rPr>
          <w:rFonts w:cs="Arial"/>
        </w:rPr>
        <w:t>the </w:t>
      </w:r>
      <w:r w:rsidR="00664DC6" w:rsidRPr="00394A5B">
        <w:rPr>
          <w:rFonts w:cs="Arial"/>
        </w:rPr>
        <w:t>2003 Act</w:t>
      </w:r>
      <w:r w:rsidR="00885552" w:rsidRPr="00394A5B">
        <w:rPr>
          <w:rFonts w:cs="Arial"/>
        </w:rPr>
        <w:t xml:space="preserve">.  </w:t>
      </w:r>
      <w:r w:rsidR="00664DC6" w:rsidRPr="00394A5B">
        <w:rPr>
          <w:rFonts w:cs="Arial"/>
        </w:rPr>
        <w:t>Section</w:t>
      </w:r>
      <w:r w:rsidR="00527A38" w:rsidRPr="00394A5B">
        <w:rPr>
          <w:rFonts w:cs="Arial"/>
        </w:rPr>
        <w:t>s 84D to</w:t>
      </w:r>
      <w:r w:rsidR="00664DC6" w:rsidRPr="00394A5B">
        <w:rPr>
          <w:rFonts w:cs="Arial"/>
        </w:rPr>
        <w:t xml:space="preserve"> 84</w:t>
      </w:r>
      <w:r w:rsidR="00527A38" w:rsidRPr="00394A5B">
        <w:rPr>
          <w:rFonts w:cs="Arial"/>
        </w:rPr>
        <w:t>P</w:t>
      </w:r>
      <w:r w:rsidR="00664DC6" w:rsidRPr="00394A5B">
        <w:rPr>
          <w:rFonts w:cs="Arial"/>
        </w:rPr>
        <w:t xml:space="preserve"> w</w:t>
      </w:r>
      <w:r w:rsidR="00527A38" w:rsidRPr="00394A5B">
        <w:rPr>
          <w:rFonts w:cs="Arial"/>
        </w:rPr>
        <w:t>ere</w:t>
      </w:r>
      <w:r w:rsidR="00664DC6" w:rsidRPr="00394A5B">
        <w:rPr>
          <w:rFonts w:cs="Arial"/>
        </w:rPr>
        <w:t xml:space="preserve"> inserted into </w:t>
      </w:r>
      <w:r w:rsidR="00685827">
        <w:rPr>
          <w:rFonts w:cs="Arial"/>
        </w:rPr>
        <w:t>the </w:t>
      </w:r>
      <w:r w:rsidR="00664DC6" w:rsidRPr="00394A5B">
        <w:rPr>
          <w:rFonts w:cs="Arial"/>
        </w:rPr>
        <w:t xml:space="preserve">1988 Act by section 40 and </w:t>
      </w:r>
      <w:r>
        <w:rPr>
          <w:rFonts w:cs="Arial"/>
        </w:rPr>
        <w:t>paragraph </w:t>
      </w:r>
      <w:r w:rsidR="00664DC6" w:rsidRPr="00394A5B">
        <w:rPr>
          <w:rFonts w:cs="Arial"/>
        </w:rPr>
        <w:t xml:space="preserve">1 of Schedule 2 to </w:t>
      </w:r>
      <w:r w:rsidR="00685827">
        <w:rPr>
          <w:rFonts w:cs="Arial"/>
        </w:rPr>
        <w:t>the </w:t>
      </w:r>
      <w:r w:rsidR="00664DC6" w:rsidRPr="00394A5B">
        <w:rPr>
          <w:rFonts w:cs="Arial"/>
        </w:rPr>
        <w:t>2003 Act</w:t>
      </w:r>
      <w:r w:rsidR="00885552" w:rsidRPr="00394A5B">
        <w:rPr>
          <w:rFonts w:cs="Arial"/>
        </w:rPr>
        <w:t xml:space="preserve">.  </w:t>
      </w:r>
      <w:r>
        <w:rPr>
          <w:rFonts w:cs="Arial"/>
        </w:rPr>
        <w:t>The </w:t>
      </w:r>
      <w:r w:rsidR="00664DC6" w:rsidRPr="00394A5B">
        <w:rPr>
          <w:rFonts w:cs="Arial"/>
        </w:rPr>
        <w:t xml:space="preserve">report will have effect for </w:t>
      </w:r>
      <w:r w:rsidR="00685827">
        <w:rPr>
          <w:rFonts w:cs="Arial"/>
        </w:rPr>
        <w:t>the </w:t>
      </w:r>
      <w:r w:rsidR="00664DC6" w:rsidRPr="00394A5B">
        <w:rPr>
          <w:rFonts w:cs="Arial"/>
        </w:rPr>
        <w:t>financial year 20</w:t>
      </w:r>
      <w:r w:rsidR="00213AF0" w:rsidRPr="00394A5B">
        <w:rPr>
          <w:rFonts w:cs="Arial"/>
        </w:rPr>
        <w:t>2</w:t>
      </w:r>
      <w:r w:rsidR="008F6F37" w:rsidRPr="00394A5B">
        <w:rPr>
          <w:rFonts w:cs="Arial"/>
        </w:rPr>
        <w:t>2</w:t>
      </w:r>
      <w:r w:rsidR="00213AF0" w:rsidRPr="00394A5B">
        <w:rPr>
          <w:rFonts w:cs="Arial"/>
        </w:rPr>
        <w:t>-2</w:t>
      </w:r>
      <w:r w:rsidR="008F6F37" w:rsidRPr="00394A5B">
        <w:rPr>
          <w:rFonts w:cs="Arial"/>
        </w:rPr>
        <w:t>3</w:t>
      </w:r>
      <w:r w:rsidR="00664DC6" w:rsidRPr="00394A5B">
        <w:rPr>
          <w:rFonts w:cs="Arial"/>
        </w:rPr>
        <w:t xml:space="preserve"> if approved by resolution of </w:t>
      </w:r>
      <w:r w:rsidR="00685827">
        <w:rPr>
          <w:rFonts w:cs="Arial"/>
        </w:rPr>
        <w:t>the </w:t>
      </w:r>
      <w:r w:rsidR="00A15A45" w:rsidRPr="00394A5B">
        <w:rPr>
          <w:rFonts w:cs="Arial"/>
        </w:rPr>
        <w:t>Senedd</w:t>
      </w:r>
      <w:r w:rsidR="00885552" w:rsidRPr="00394A5B">
        <w:rPr>
          <w:rFonts w:cs="Arial"/>
        </w:rPr>
        <w:t>.</w:t>
      </w:r>
    </w:p>
    <w:p w14:paraId="67413E61" w14:textId="77777777" w:rsidR="00664DC6" w:rsidRPr="00685827" w:rsidRDefault="00664DC6" w:rsidP="00685827">
      <w:pPr>
        <w:pStyle w:val="Heading3"/>
      </w:pPr>
      <w:r w:rsidRPr="00685827">
        <w:t>Amount of RSG and redistributed n</w:t>
      </w:r>
      <w:r w:rsidR="00730354" w:rsidRPr="00685827">
        <w:t>on-dom</w:t>
      </w:r>
      <w:r w:rsidRPr="00685827">
        <w:t>estic rates</w:t>
      </w:r>
    </w:p>
    <w:p w14:paraId="6014095E" w14:textId="60A7E3C5" w:rsidR="00664DC6" w:rsidRPr="00685827" w:rsidRDefault="00F9177B" w:rsidP="00685827">
      <w:pPr>
        <w:numPr>
          <w:ilvl w:val="0"/>
          <w:numId w:val="15"/>
        </w:numPr>
        <w:tabs>
          <w:tab w:val="clear" w:pos="360"/>
        </w:tabs>
        <w:ind w:left="567" w:hanging="567"/>
        <w:rPr>
          <w:rFonts w:cs="Arial"/>
        </w:rPr>
      </w:pPr>
      <w:r>
        <w:rPr>
          <w:rFonts w:cs="Arial"/>
        </w:rPr>
        <w:t>Section </w:t>
      </w:r>
      <w:r w:rsidR="00664DC6" w:rsidRPr="00394A5B">
        <w:rPr>
          <w:rFonts w:cs="Arial"/>
        </w:rPr>
        <w:t xml:space="preserve">84F (Determination of grant) of </w:t>
      </w:r>
      <w:r w:rsidR="00685827">
        <w:rPr>
          <w:rFonts w:cs="Arial"/>
        </w:rPr>
        <w:t>the </w:t>
      </w:r>
      <w:r w:rsidR="00664DC6" w:rsidRPr="00394A5B">
        <w:rPr>
          <w:rFonts w:cs="Arial"/>
        </w:rPr>
        <w:t xml:space="preserve">1988 Act requires </w:t>
      </w:r>
      <w:r w:rsidR="00E31AF0" w:rsidRPr="00394A5B">
        <w:rPr>
          <w:rFonts w:cs="Arial"/>
        </w:rPr>
        <w:t xml:space="preserve">Welsh </w:t>
      </w:r>
      <w:r w:rsidR="00B876B4" w:rsidRPr="00394A5B">
        <w:rPr>
          <w:rFonts w:cs="Arial"/>
        </w:rPr>
        <w:t>Ministers</w:t>
      </w:r>
      <w:r w:rsidR="00E31AF0" w:rsidRPr="00394A5B">
        <w:rPr>
          <w:rFonts w:cs="Arial"/>
        </w:rPr>
        <w:t xml:space="preserve"> </w:t>
      </w:r>
      <w:r w:rsidR="00664DC6" w:rsidRPr="00394A5B">
        <w:rPr>
          <w:rFonts w:cs="Arial"/>
        </w:rPr>
        <w:t xml:space="preserve">to determine </w:t>
      </w:r>
      <w:r w:rsidR="00685827">
        <w:rPr>
          <w:rFonts w:cs="Arial"/>
        </w:rPr>
        <w:t>the </w:t>
      </w:r>
      <w:r w:rsidR="00664DC6" w:rsidRPr="00394A5B">
        <w:rPr>
          <w:rFonts w:cs="Arial"/>
        </w:rPr>
        <w:t>amount of RSG for each financial year; how much t</w:t>
      </w:r>
      <w:r w:rsidR="00B876B4" w:rsidRPr="00394A5B">
        <w:rPr>
          <w:rFonts w:cs="Arial"/>
        </w:rPr>
        <w:t>hey</w:t>
      </w:r>
      <w:r w:rsidR="00664DC6" w:rsidRPr="00394A5B">
        <w:rPr>
          <w:rFonts w:cs="Arial"/>
        </w:rPr>
        <w:t xml:space="preserve"> propose to pay to receiving authorities (county and county borough councils) and how much </w:t>
      </w:r>
      <w:r w:rsidR="00E751C9" w:rsidRPr="00394A5B">
        <w:rPr>
          <w:rFonts w:cs="Arial"/>
        </w:rPr>
        <w:t>they</w:t>
      </w:r>
      <w:r w:rsidR="00664DC6" w:rsidRPr="00394A5B">
        <w:rPr>
          <w:rFonts w:cs="Arial"/>
        </w:rPr>
        <w:t xml:space="preserve"> propose to pay to specified bodies</w:t>
      </w:r>
      <w:r w:rsidR="00885552" w:rsidRPr="00394A5B">
        <w:rPr>
          <w:rFonts w:cs="Arial"/>
        </w:rPr>
        <w:t>.</w:t>
      </w:r>
    </w:p>
    <w:p w14:paraId="6614B13A" w14:textId="34AE48F1" w:rsidR="00664DC6" w:rsidRPr="00685827" w:rsidRDefault="00664DC6" w:rsidP="00685827">
      <w:pPr>
        <w:numPr>
          <w:ilvl w:val="0"/>
          <w:numId w:val="15"/>
        </w:numPr>
        <w:tabs>
          <w:tab w:val="clear" w:pos="360"/>
        </w:tabs>
        <w:ind w:left="567" w:hanging="567"/>
        <w:rPr>
          <w:rFonts w:cs="Arial"/>
        </w:rPr>
      </w:pPr>
      <w:r w:rsidRPr="00394A5B">
        <w:rPr>
          <w:rFonts w:cs="Arial"/>
          <w:u w:val="single"/>
        </w:rPr>
        <w:t>Specified bodies</w:t>
      </w:r>
      <w:r w:rsidRPr="00394A5B">
        <w:rPr>
          <w:rFonts w:cs="Arial"/>
        </w:rPr>
        <w:t xml:space="preserve"> are bodies which provide services for local authorities and are specified in Revenue Support Grant (Specified Bodies) (Wales) Regulations 2000 (as amended by </w:t>
      </w:r>
      <w:r w:rsidR="00685827">
        <w:rPr>
          <w:rFonts w:cs="Arial"/>
        </w:rPr>
        <w:t>the </w:t>
      </w:r>
      <w:r w:rsidRPr="00394A5B">
        <w:rPr>
          <w:rFonts w:cs="Arial"/>
        </w:rPr>
        <w:t xml:space="preserve">Revenue Support Grant (Specified Bodies) (Wales) (Amendment) Regulations 2003 </w:t>
      </w:r>
      <w:r w:rsidR="008303C8" w:rsidRPr="00394A5B">
        <w:rPr>
          <w:rFonts w:cs="Arial"/>
        </w:rPr>
        <w:t>(</w:t>
      </w:r>
      <w:r w:rsidRPr="00394A5B">
        <w:rPr>
          <w:rFonts w:cs="Arial"/>
        </w:rPr>
        <w:t>S</w:t>
      </w:r>
      <w:r w:rsidR="008303C8" w:rsidRPr="00394A5B">
        <w:rPr>
          <w:rFonts w:cs="Arial"/>
        </w:rPr>
        <w:t>.</w:t>
      </w:r>
      <w:r w:rsidRPr="00394A5B">
        <w:rPr>
          <w:rFonts w:cs="Arial"/>
        </w:rPr>
        <w:t>I</w:t>
      </w:r>
      <w:r w:rsidR="008303C8" w:rsidRPr="00394A5B">
        <w:rPr>
          <w:rFonts w:cs="Arial"/>
        </w:rPr>
        <w:t>.</w:t>
      </w:r>
      <w:r w:rsidRPr="00394A5B">
        <w:rPr>
          <w:rFonts w:cs="Arial"/>
        </w:rPr>
        <w:t xml:space="preserve"> 2003/706</w:t>
      </w:r>
      <w:r w:rsidR="008303C8" w:rsidRPr="00394A5B">
        <w:rPr>
          <w:rFonts w:cs="Arial"/>
        </w:rPr>
        <w:t>)</w:t>
      </w:r>
      <w:r w:rsidRPr="00394A5B">
        <w:rPr>
          <w:rFonts w:cs="Arial"/>
        </w:rPr>
        <w:t xml:space="preserve"> (W.</w:t>
      </w:r>
      <w:r w:rsidR="008303C8" w:rsidRPr="00394A5B">
        <w:rPr>
          <w:rFonts w:cs="Arial"/>
        </w:rPr>
        <w:t xml:space="preserve"> </w:t>
      </w:r>
      <w:r w:rsidRPr="00394A5B">
        <w:rPr>
          <w:rFonts w:cs="Arial"/>
        </w:rPr>
        <w:t xml:space="preserve">85) and </w:t>
      </w:r>
      <w:r w:rsidR="00685827">
        <w:rPr>
          <w:rFonts w:cs="Arial"/>
        </w:rPr>
        <w:t>the </w:t>
      </w:r>
      <w:r w:rsidRPr="00394A5B">
        <w:rPr>
          <w:rFonts w:cs="Arial"/>
        </w:rPr>
        <w:t xml:space="preserve">Revenue Support Grant (Specified Bodies) (Wales) (Amendment) Regulations 2006 </w:t>
      </w:r>
      <w:r w:rsidR="008303C8" w:rsidRPr="00394A5B">
        <w:rPr>
          <w:rFonts w:cs="Arial"/>
        </w:rPr>
        <w:t>(</w:t>
      </w:r>
      <w:r w:rsidRPr="00394A5B">
        <w:rPr>
          <w:rFonts w:cs="Arial"/>
        </w:rPr>
        <w:t>S</w:t>
      </w:r>
      <w:r w:rsidR="008303C8" w:rsidRPr="00394A5B">
        <w:rPr>
          <w:rFonts w:cs="Arial"/>
        </w:rPr>
        <w:t>.</w:t>
      </w:r>
      <w:r w:rsidRPr="00394A5B">
        <w:rPr>
          <w:rFonts w:cs="Arial"/>
        </w:rPr>
        <w:t>I</w:t>
      </w:r>
      <w:r w:rsidR="008303C8" w:rsidRPr="00394A5B">
        <w:rPr>
          <w:rFonts w:cs="Arial"/>
        </w:rPr>
        <w:t>.</w:t>
      </w:r>
      <w:r w:rsidRPr="00394A5B">
        <w:rPr>
          <w:rFonts w:cs="Arial"/>
        </w:rPr>
        <w:t xml:space="preserve"> 2006/764</w:t>
      </w:r>
      <w:r w:rsidR="008303C8" w:rsidRPr="00394A5B">
        <w:rPr>
          <w:rFonts w:cs="Arial"/>
        </w:rPr>
        <w:t>)</w:t>
      </w:r>
      <w:r w:rsidRPr="00394A5B">
        <w:rPr>
          <w:rFonts w:cs="Arial"/>
        </w:rPr>
        <w:t xml:space="preserve"> (W</w:t>
      </w:r>
      <w:r w:rsidR="008303C8" w:rsidRPr="00394A5B">
        <w:rPr>
          <w:rFonts w:cs="Arial"/>
        </w:rPr>
        <w:t xml:space="preserve"> </w:t>
      </w:r>
      <w:r w:rsidRPr="00394A5B">
        <w:rPr>
          <w:rFonts w:cs="Arial"/>
        </w:rPr>
        <w:t>.73))</w:t>
      </w:r>
      <w:r w:rsidR="00885552" w:rsidRPr="00394A5B">
        <w:rPr>
          <w:rFonts w:cs="Arial"/>
        </w:rPr>
        <w:t>.</w:t>
      </w:r>
    </w:p>
    <w:p w14:paraId="42DFDA75" w14:textId="77777777" w:rsidR="00664DC6" w:rsidRPr="00685827" w:rsidRDefault="00664DC6" w:rsidP="00685827">
      <w:pPr>
        <w:pStyle w:val="Heading3"/>
      </w:pPr>
      <w:r w:rsidRPr="00685827">
        <w:t>Basis of distributing RSG</w:t>
      </w:r>
    </w:p>
    <w:p w14:paraId="5668220B" w14:textId="7317B215" w:rsidR="00664DC6" w:rsidRPr="00685827" w:rsidRDefault="00F9177B" w:rsidP="00685827">
      <w:pPr>
        <w:numPr>
          <w:ilvl w:val="0"/>
          <w:numId w:val="15"/>
        </w:numPr>
        <w:tabs>
          <w:tab w:val="clear" w:pos="360"/>
        </w:tabs>
        <w:ind w:left="567" w:hanging="567"/>
        <w:rPr>
          <w:rFonts w:cs="Arial"/>
        </w:rPr>
      </w:pPr>
      <w:r>
        <w:rPr>
          <w:rFonts w:cs="Arial"/>
        </w:rPr>
        <w:t>Section </w:t>
      </w:r>
      <w:r w:rsidR="00664DC6" w:rsidRPr="00394A5B">
        <w:rPr>
          <w:rFonts w:cs="Arial"/>
        </w:rPr>
        <w:t xml:space="preserve">84G requires </w:t>
      </w:r>
      <w:r w:rsidR="00E31AF0" w:rsidRPr="00394A5B">
        <w:rPr>
          <w:rFonts w:cs="Arial"/>
        </w:rPr>
        <w:t xml:space="preserve">Welsh </w:t>
      </w:r>
      <w:r w:rsidR="00B876B4" w:rsidRPr="00394A5B">
        <w:rPr>
          <w:rFonts w:cs="Arial"/>
        </w:rPr>
        <w:t>Ministers</w:t>
      </w:r>
      <w:r w:rsidR="00E31AF0" w:rsidRPr="00394A5B">
        <w:rPr>
          <w:rFonts w:cs="Arial"/>
        </w:rPr>
        <w:t xml:space="preserve"> </w:t>
      </w:r>
      <w:r w:rsidR="00664DC6" w:rsidRPr="00394A5B">
        <w:rPr>
          <w:rFonts w:cs="Arial"/>
        </w:rPr>
        <w:t xml:space="preserve">to make a report setting out its determinations under section 84F and to specify </w:t>
      </w:r>
      <w:r w:rsidR="00685827">
        <w:rPr>
          <w:rFonts w:cs="Arial"/>
        </w:rPr>
        <w:t>the </w:t>
      </w:r>
      <w:r w:rsidR="00664DC6" w:rsidRPr="00394A5B">
        <w:rPr>
          <w:rFonts w:cs="Arial"/>
        </w:rPr>
        <w:t xml:space="preserve">basis on which RSG is to be distributed amongst </w:t>
      </w:r>
      <w:r w:rsidR="00685827">
        <w:rPr>
          <w:rFonts w:cs="Arial"/>
        </w:rPr>
        <w:t>the </w:t>
      </w:r>
      <w:r w:rsidR="00664DC6" w:rsidRPr="00394A5B">
        <w:rPr>
          <w:rFonts w:cs="Arial"/>
        </w:rPr>
        <w:t>receiving authorities and specified bodies.</w:t>
      </w:r>
    </w:p>
    <w:p w14:paraId="73EEED77" w14:textId="77777777" w:rsidR="00664DC6" w:rsidRPr="00685827" w:rsidRDefault="00664DC6" w:rsidP="00685827">
      <w:pPr>
        <w:pStyle w:val="Heading3"/>
      </w:pPr>
      <w:r w:rsidRPr="00685827">
        <w:t xml:space="preserve">Redistributed </w:t>
      </w:r>
      <w:r w:rsidR="00782621" w:rsidRPr="00685827">
        <w:t>non-domestic rates</w:t>
      </w:r>
    </w:p>
    <w:p w14:paraId="43EAF340" w14:textId="56F08802" w:rsidR="00664DC6" w:rsidRPr="00394A5B" w:rsidRDefault="0001761C" w:rsidP="00685827">
      <w:pPr>
        <w:numPr>
          <w:ilvl w:val="0"/>
          <w:numId w:val="15"/>
        </w:numPr>
        <w:tabs>
          <w:tab w:val="clear" w:pos="360"/>
        </w:tabs>
        <w:ind w:left="567" w:hanging="567"/>
        <w:rPr>
          <w:rFonts w:cs="Arial"/>
        </w:rPr>
      </w:pPr>
      <w:r w:rsidRPr="00394A5B">
        <w:rPr>
          <w:rFonts w:cs="Arial"/>
        </w:rPr>
        <w:t xml:space="preserve">Paragraphs 9A, 11A, 11B, 11C and 14A were inserted into Schedule 8 to </w:t>
      </w:r>
      <w:r w:rsidR="00685827">
        <w:rPr>
          <w:rFonts w:cs="Arial"/>
        </w:rPr>
        <w:t>the </w:t>
      </w:r>
      <w:r w:rsidRPr="00394A5B">
        <w:rPr>
          <w:rFonts w:cs="Arial"/>
        </w:rPr>
        <w:t>1988 Act</w:t>
      </w:r>
      <w:r w:rsidR="00794F74" w:rsidRPr="00394A5B">
        <w:rPr>
          <w:rFonts w:cs="Arial"/>
        </w:rPr>
        <w:t xml:space="preserve"> by section 40 and Schedule 2 to </w:t>
      </w:r>
      <w:r w:rsidR="00685827">
        <w:rPr>
          <w:rFonts w:cs="Arial"/>
        </w:rPr>
        <w:t>the </w:t>
      </w:r>
      <w:r w:rsidR="00794F74" w:rsidRPr="00394A5B">
        <w:rPr>
          <w:rFonts w:cs="Arial"/>
        </w:rPr>
        <w:t>2003 Act</w:t>
      </w:r>
      <w:r w:rsidRPr="00394A5B">
        <w:rPr>
          <w:rFonts w:cs="Arial"/>
        </w:rPr>
        <w:t xml:space="preserve">. </w:t>
      </w:r>
      <w:r w:rsidR="00664DC6" w:rsidRPr="00394A5B">
        <w:rPr>
          <w:rFonts w:cs="Arial"/>
        </w:rPr>
        <w:t xml:space="preserve">Paragraph 9A (Years where two local government finance reports prepared for Wales) requires </w:t>
      </w:r>
      <w:r w:rsidR="00685827">
        <w:rPr>
          <w:rFonts w:cs="Arial"/>
        </w:rPr>
        <w:t>the </w:t>
      </w:r>
      <w:r w:rsidR="00E31AF0" w:rsidRPr="00394A5B">
        <w:rPr>
          <w:rFonts w:cs="Arial"/>
        </w:rPr>
        <w:t xml:space="preserve">Welsh </w:t>
      </w:r>
      <w:r w:rsidR="00B876B4" w:rsidRPr="00394A5B">
        <w:rPr>
          <w:rFonts w:cs="Arial"/>
        </w:rPr>
        <w:t>Ministers</w:t>
      </w:r>
      <w:r w:rsidR="00E31AF0" w:rsidRPr="00394A5B">
        <w:rPr>
          <w:rFonts w:cs="Arial"/>
        </w:rPr>
        <w:t xml:space="preserve"> </w:t>
      </w:r>
      <w:r w:rsidR="00664DC6" w:rsidRPr="00394A5B">
        <w:rPr>
          <w:rFonts w:cs="Arial"/>
        </w:rPr>
        <w:t xml:space="preserve">to specify in </w:t>
      </w:r>
      <w:r w:rsidR="00685827">
        <w:rPr>
          <w:rFonts w:cs="Arial"/>
        </w:rPr>
        <w:t>the </w:t>
      </w:r>
      <w:r w:rsidR="00664DC6" w:rsidRPr="00394A5B">
        <w:rPr>
          <w:rFonts w:cs="Arial"/>
        </w:rPr>
        <w:t xml:space="preserve">first report </w:t>
      </w:r>
      <w:r w:rsidR="00685827">
        <w:rPr>
          <w:rFonts w:cs="Arial"/>
        </w:rPr>
        <w:t>the </w:t>
      </w:r>
      <w:r w:rsidR="00664DC6" w:rsidRPr="00394A5B">
        <w:rPr>
          <w:rFonts w:cs="Arial"/>
        </w:rPr>
        <w:t xml:space="preserve">distributable amount from </w:t>
      </w:r>
      <w:r w:rsidR="00685827">
        <w:rPr>
          <w:rFonts w:cs="Arial"/>
        </w:rPr>
        <w:t>the </w:t>
      </w:r>
      <w:r w:rsidR="00664DC6" w:rsidRPr="00394A5B">
        <w:rPr>
          <w:rFonts w:cs="Arial"/>
        </w:rPr>
        <w:t>non-domestic rating account</w:t>
      </w:r>
      <w:r w:rsidR="00885552" w:rsidRPr="00394A5B">
        <w:rPr>
          <w:rFonts w:cs="Arial"/>
        </w:rPr>
        <w:t xml:space="preserve">.  </w:t>
      </w:r>
      <w:r w:rsidR="00664DC6" w:rsidRPr="00394A5B">
        <w:rPr>
          <w:rFonts w:cs="Arial"/>
        </w:rPr>
        <w:t xml:space="preserve">Under </w:t>
      </w:r>
      <w:r w:rsidR="00394A5B">
        <w:rPr>
          <w:rFonts w:cs="Arial"/>
        </w:rPr>
        <w:t>paragraph </w:t>
      </w:r>
      <w:r w:rsidR="00664DC6" w:rsidRPr="00394A5B">
        <w:rPr>
          <w:rFonts w:cs="Arial"/>
        </w:rPr>
        <w:t xml:space="preserve">11A (Distribution: local government finance reports) of </w:t>
      </w:r>
      <w:r w:rsidR="00685827">
        <w:rPr>
          <w:rFonts w:cs="Arial"/>
        </w:rPr>
        <w:t>the </w:t>
      </w:r>
      <w:r w:rsidR="00664DC6" w:rsidRPr="00394A5B">
        <w:rPr>
          <w:rFonts w:cs="Arial"/>
        </w:rPr>
        <w:t xml:space="preserve">same Schedule </w:t>
      </w:r>
      <w:r w:rsidR="00685827">
        <w:rPr>
          <w:rFonts w:cs="Arial"/>
        </w:rPr>
        <w:t>the </w:t>
      </w:r>
      <w:r w:rsidR="00E31AF0" w:rsidRPr="00394A5B">
        <w:rPr>
          <w:rFonts w:cs="Arial"/>
        </w:rPr>
        <w:t xml:space="preserve">Welsh </w:t>
      </w:r>
      <w:r w:rsidR="00B876B4" w:rsidRPr="00394A5B">
        <w:rPr>
          <w:rFonts w:cs="Arial"/>
        </w:rPr>
        <w:t>Ministers are</w:t>
      </w:r>
      <w:r w:rsidR="00664DC6" w:rsidRPr="00394A5B">
        <w:rPr>
          <w:rFonts w:cs="Arial"/>
        </w:rPr>
        <w:t xml:space="preserve"> required to set out in </w:t>
      </w:r>
      <w:r w:rsidR="00685827">
        <w:rPr>
          <w:rFonts w:cs="Arial"/>
        </w:rPr>
        <w:t>the </w:t>
      </w:r>
      <w:r w:rsidR="00664DC6" w:rsidRPr="00394A5B">
        <w:rPr>
          <w:rFonts w:cs="Arial"/>
        </w:rPr>
        <w:t xml:space="preserve">report </w:t>
      </w:r>
      <w:r w:rsidR="00685827">
        <w:rPr>
          <w:rFonts w:cs="Arial"/>
        </w:rPr>
        <w:t>the </w:t>
      </w:r>
      <w:r w:rsidR="00664DC6" w:rsidRPr="00394A5B">
        <w:rPr>
          <w:rFonts w:cs="Arial"/>
        </w:rPr>
        <w:t>basis (</w:t>
      </w:r>
      <w:r w:rsidR="00685827">
        <w:rPr>
          <w:rFonts w:cs="Arial"/>
        </w:rPr>
        <w:t>the </w:t>
      </w:r>
      <w:r w:rsidR="00664DC6" w:rsidRPr="00394A5B">
        <w:rPr>
          <w:rFonts w:cs="Arial"/>
        </w:rPr>
        <w:t xml:space="preserve">basis of distribution) on which </w:t>
      </w:r>
      <w:r w:rsidR="00685827">
        <w:rPr>
          <w:rFonts w:cs="Arial"/>
        </w:rPr>
        <w:t>the </w:t>
      </w:r>
      <w:r w:rsidR="00664DC6" w:rsidRPr="00394A5B">
        <w:rPr>
          <w:rFonts w:cs="Arial"/>
        </w:rPr>
        <w:t>distributable amount will be distributed among receiving authorities</w:t>
      </w:r>
      <w:r w:rsidR="00612E46" w:rsidRPr="00394A5B">
        <w:rPr>
          <w:rFonts w:cs="Arial"/>
        </w:rPr>
        <w:t>.</w:t>
      </w:r>
    </w:p>
    <w:sectPr w:rsidR="00664DC6" w:rsidRPr="00394A5B" w:rsidSect="00A60AFE">
      <w:headerReference w:type="default" r:id="rId12"/>
      <w:footerReference w:type="default" r:id="rId13"/>
      <w:footnotePr>
        <w:numRestart w:val="eachPage"/>
      </w:footnotePr>
      <w:endnotePr>
        <w:numFmt w:val="decimal"/>
      </w:endnotePr>
      <w:pgSz w:w="12240" w:h="15840" w:code="1"/>
      <w:pgMar w:top="1701" w:right="1077" w:bottom="851" w:left="1418" w:header="567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ACF52" w14:textId="77777777" w:rsidR="00EA7155" w:rsidRDefault="00EA7155">
      <w:r>
        <w:separator/>
      </w:r>
    </w:p>
  </w:endnote>
  <w:endnote w:type="continuationSeparator" w:id="0">
    <w:p w14:paraId="15BFFE47" w14:textId="77777777" w:rsidR="00EA7155" w:rsidRDefault="00EA7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09BC1" w14:textId="03DC67C1" w:rsidR="000D07BE" w:rsidRPr="00A70DAD" w:rsidRDefault="000D07BE" w:rsidP="00A70DAD">
    <w:pPr>
      <w:pStyle w:val="Footer"/>
      <w:jc w:val="center"/>
      <w:rPr>
        <w:rFonts w:cs="Arial"/>
        <w:b/>
      </w:rPr>
    </w:pPr>
    <w:r w:rsidRPr="00A70DAD">
      <w:rPr>
        <w:rFonts w:cs="Arial"/>
        <w:b/>
      </w:rPr>
      <w:fldChar w:fldCharType="begin"/>
    </w:r>
    <w:r w:rsidRPr="00A70DAD">
      <w:rPr>
        <w:rFonts w:cs="Arial"/>
        <w:b/>
      </w:rPr>
      <w:instrText xml:space="preserve"> PAGE </w:instrText>
    </w:r>
    <w:r w:rsidRPr="00A70DAD">
      <w:rPr>
        <w:rFonts w:cs="Arial"/>
        <w:b/>
      </w:rPr>
      <w:fldChar w:fldCharType="separate"/>
    </w:r>
    <w:r w:rsidR="00DA5905">
      <w:rPr>
        <w:rFonts w:cs="Arial"/>
        <w:b/>
        <w:noProof/>
      </w:rPr>
      <w:t>1</w:t>
    </w:r>
    <w:r w:rsidRPr="00A70DAD">
      <w:rPr>
        <w:rFonts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9B67E" w14:textId="77777777" w:rsidR="00EA7155" w:rsidRDefault="00EA7155"/>
  </w:footnote>
  <w:footnote w:type="continuationSeparator" w:id="0">
    <w:p w14:paraId="1D9F6382" w14:textId="77777777" w:rsidR="00EA7155" w:rsidRDefault="00EA7155">
      <w:r>
        <w:continuationSeparator/>
      </w:r>
    </w:p>
  </w:footnote>
  <w:footnote w:id="1">
    <w:p w14:paraId="38A002C5" w14:textId="5A162155" w:rsidR="000D07BE" w:rsidRDefault="000D07BE">
      <w:pPr>
        <w:pStyle w:val="FootnoteText"/>
      </w:pPr>
      <w:r>
        <w:rPr>
          <w:rStyle w:val="FootnoteReference"/>
        </w:rPr>
        <w:footnoteRef/>
      </w:r>
      <w:r>
        <w:t xml:space="preserve"> S.I. 1995/2561 and see the Local Authorities (Calculation of Council Tax Base) (Wales) (Amendment) Regulations 1999 (S.I. 1999/2935) (W. 27), the Local Authorities (Calculation of Council Tax Base) and the Council Tax (Prescribed Classes of Dwellings) (Wales) (Amendment) Regulations 2004 (S.I. 2004/3094) (W. 268), the Local Authorities (Calculation of Council Tax Base) (Wales) (Amendment) Regulations 2016 SI 2016/969) (W. 238) (amendments in force from 28 October 2016).</w:t>
      </w:r>
    </w:p>
  </w:footnote>
  <w:footnote w:id="2">
    <w:p w14:paraId="6D971FD9" w14:textId="77777777" w:rsidR="000D07BE" w:rsidRPr="00455EDB" w:rsidRDefault="000D07BE">
      <w:pPr>
        <w:pStyle w:val="FootnoteText"/>
        <w:rPr>
          <w:rFonts w:cs="Arial"/>
        </w:rPr>
      </w:pPr>
      <w:r w:rsidRPr="00455EDB">
        <w:rPr>
          <w:rStyle w:val="FootnoteReference"/>
          <w:rFonts w:cs="Arial"/>
        </w:rPr>
        <w:footnoteRef/>
      </w:r>
      <w:r w:rsidRPr="00455EDB">
        <w:rPr>
          <w:rFonts w:cs="Arial"/>
        </w:rPr>
        <w:t xml:space="preserve"> See Distribution Sub Group Report, 201</w:t>
      </w:r>
      <w:r>
        <w:rPr>
          <w:rFonts w:cs="Arial"/>
        </w:rPr>
        <w:t>5</w:t>
      </w:r>
      <w:r w:rsidRPr="00455EDB">
        <w:rPr>
          <w:rFonts w:cs="Arial"/>
        </w:rPr>
        <w:t xml:space="preserve"> – paragraph 27</w:t>
      </w:r>
      <w:r>
        <w:rPr>
          <w:rFonts w:cs="Arial"/>
        </w:rPr>
        <w:t xml:space="preserve"> and </w:t>
      </w:r>
      <w:r w:rsidRPr="00455EDB">
        <w:rPr>
          <w:rFonts w:cs="Arial"/>
        </w:rPr>
        <w:t>Distribution Sub Group Report, 201</w:t>
      </w:r>
      <w:r>
        <w:rPr>
          <w:rFonts w:cs="Arial"/>
        </w:rPr>
        <w:t>9</w:t>
      </w:r>
      <w:r w:rsidRPr="00455EDB">
        <w:rPr>
          <w:rFonts w:cs="Arial"/>
        </w:rPr>
        <w:t xml:space="preserve"> – paragraph 2</w:t>
      </w:r>
      <w:r>
        <w:rPr>
          <w:rFonts w:cs="Arial"/>
        </w:rPr>
        <w:t>1</w:t>
      </w:r>
      <w:r w:rsidRPr="00455EDB">
        <w:rPr>
          <w:rFonts w:cs="Arial"/>
        </w:rPr>
        <w:t>.</w:t>
      </w:r>
    </w:p>
  </w:footnote>
  <w:footnote w:id="3">
    <w:p w14:paraId="59ADB154" w14:textId="7018CFA7" w:rsidR="000D07BE" w:rsidRPr="00381150" w:rsidRDefault="000D07BE" w:rsidP="00381150">
      <w:pPr>
        <w:widowControl w:val="0"/>
        <w:spacing w:line="240" w:lineRule="atLeast"/>
        <w:rPr>
          <w:rFonts w:cs="Arial"/>
          <w:i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cs="Arial"/>
        </w:rPr>
        <w:t>Council Tax Base for 2022-23 is used for the 2022</w:t>
      </w:r>
      <w:r w:rsidRPr="00381150">
        <w:rPr>
          <w:rFonts w:cs="Arial"/>
        </w:rPr>
        <w:t>-</w:t>
      </w:r>
      <w:r>
        <w:rPr>
          <w:rFonts w:cs="Arial"/>
        </w:rPr>
        <w:t>23</w:t>
      </w:r>
      <w:r w:rsidRPr="00381150">
        <w:rPr>
          <w:rFonts w:cs="Arial"/>
        </w:rPr>
        <w:t xml:space="preserve"> </w:t>
      </w:r>
      <w:r>
        <w:rPr>
          <w:rFonts w:cs="Arial"/>
        </w:rPr>
        <w:t>Final</w:t>
      </w:r>
      <w:r w:rsidRPr="00381150">
        <w:rPr>
          <w:rFonts w:cs="Arial"/>
        </w:rPr>
        <w:t xml:space="preserve"> Settlement</w:t>
      </w:r>
    </w:p>
  </w:footnote>
  <w:footnote w:id="4">
    <w:p w14:paraId="7778DA20" w14:textId="0ED77778" w:rsidR="000D07BE" w:rsidRPr="00381150" w:rsidRDefault="000D07BE" w:rsidP="00381150">
      <w:pPr>
        <w:rPr>
          <w:rFonts w:cs="Arial"/>
          <w:i/>
        </w:rPr>
      </w:pPr>
      <w:r>
        <w:rPr>
          <w:rStyle w:val="FootnoteReference"/>
        </w:rPr>
        <w:footnoteRef/>
      </w:r>
      <w:r>
        <w:t xml:space="preserve"> </w:t>
      </w:r>
      <w:r w:rsidRPr="00381150">
        <w:rPr>
          <w:rFonts w:cs="Arial"/>
        </w:rPr>
        <w:t>Mid-Year Population Estimates 20</w:t>
      </w:r>
      <w:r>
        <w:rPr>
          <w:rFonts w:cs="Arial"/>
        </w:rPr>
        <w:t>20</w:t>
      </w:r>
      <w:r w:rsidRPr="00381150">
        <w:rPr>
          <w:rFonts w:cs="Arial"/>
        </w:rPr>
        <w:t xml:space="preserve"> in Wales.</w:t>
      </w:r>
    </w:p>
  </w:footnote>
  <w:footnote w:id="5">
    <w:p w14:paraId="7254EC11" w14:textId="15E62CD2" w:rsidR="000D07BE" w:rsidRDefault="000D07BE">
      <w:pPr>
        <w:pStyle w:val="FootnoteText"/>
      </w:pPr>
      <w:r>
        <w:rPr>
          <w:rStyle w:val="FootnoteReference"/>
        </w:rPr>
        <w:footnoteRef/>
      </w:r>
      <w:r>
        <w:t xml:space="preserve"> See (i) the National Park Authorities (Levies) (Wales) (Amendment) Regulations 1996 (S.I. 1996/2913); (ii) the National Park Authorities (Levies) (Wales) Amendment Regulations 2000 (S.I. 2000/244) (W. 2);  the Financial Services and Markets Act 2000 (Consequential Amendments and Repeals) Order 2001 (S.I. 2001/3649); and (iv) the Financial Services Act 2012 (Consequential Amendments and Transitional Provisions) Order 2013 (S.I. 2013/472).</w:t>
      </w:r>
    </w:p>
  </w:footnote>
  <w:footnote w:id="6">
    <w:p w14:paraId="3EF13E7D" w14:textId="0475D0CD" w:rsidR="000D07BE" w:rsidRDefault="000D07BE" w:rsidP="002A338D">
      <w:pPr>
        <w:pStyle w:val="Default"/>
      </w:pPr>
      <w:r>
        <w:rPr>
          <w:rStyle w:val="FootnoteReference"/>
        </w:rPr>
        <w:footnoteRef/>
      </w:r>
      <w:r>
        <w:t xml:space="preserve"> </w:t>
      </w:r>
      <w:r w:rsidRPr="002A338D">
        <w:rPr>
          <w:sz w:val="20"/>
          <w:szCs w:val="20"/>
        </w:rPr>
        <w:t xml:space="preserve">Due to rounding, </w:t>
      </w:r>
      <w:r>
        <w:rPr>
          <w:sz w:val="20"/>
          <w:szCs w:val="20"/>
        </w:rPr>
        <w:t xml:space="preserve">the sum of the debt financing and other items for all the county and county borough councils </w:t>
      </w:r>
      <w:r w:rsidRPr="002A338D">
        <w:rPr>
          <w:sz w:val="20"/>
          <w:szCs w:val="20"/>
        </w:rPr>
        <w:t xml:space="preserve">may not add to </w:t>
      </w:r>
      <w:r>
        <w:rPr>
          <w:sz w:val="20"/>
          <w:szCs w:val="20"/>
        </w:rPr>
        <w:t>the Wales</w:t>
      </w:r>
      <w:r w:rsidRPr="002A338D">
        <w:rPr>
          <w:sz w:val="20"/>
          <w:szCs w:val="20"/>
        </w:rPr>
        <w:t xml:space="preserve"> total.</w:t>
      </w:r>
      <w:r>
        <w:t xml:space="preserve">  </w:t>
      </w:r>
    </w:p>
  </w:footnote>
  <w:footnote w:id="7">
    <w:p w14:paraId="47F7140E" w14:textId="149C2577" w:rsidR="000D07BE" w:rsidRPr="001E4FC1" w:rsidRDefault="000D07BE" w:rsidP="002378D6">
      <w:pPr>
        <w:pStyle w:val="FootnoteText"/>
        <w:rPr>
          <w:b/>
        </w:rPr>
      </w:pPr>
      <w:r>
        <w:rPr>
          <w:rStyle w:val="FootnoteReference"/>
        </w:rPr>
        <w:footnoteRef/>
      </w:r>
      <w:r>
        <w:t xml:space="preserve"> The boundary changes made by the Neath Port Talbot and Powys (Cwmtwrch) Order 2004 (S.I. 2004/2746) (W. 244).  </w:t>
      </w:r>
    </w:p>
  </w:footnote>
  <w:footnote w:id="8">
    <w:p w14:paraId="606925D3" w14:textId="77777777" w:rsidR="000D07BE" w:rsidRPr="00AD66B2" w:rsidRDefault="000D07BE">
      <w:pPr>
        <w:pStyle w:val="FootnoteText"/>
        <w:rPr>
          <w:rFonts w:cs="Arial"/>
        </w:rPr>
      </w:pPr>
      <w:r w:rsidRPr="00AD66B2">
        <w:rPr>
          <w:rStyle w:val="FootnoteReference"/>
          <w:rFonts w:cs="Arial"/>
        </w:rPr>
        <w:footnoteRef/>
      </w:r>
      <w:r w:rsidRPr="00AD66B2">
        <w:rPr>
          <w:rFonts w:cs="Arial"/>
        </w:rPr>
        <w:t xml:space="preserve"> Population figures are 2003 Mid-Year Estimates</w:t>
      </w:r>
    </w:p>
  </w:footnote>
  <w:footnote w:id="9">
    <w:p w14:paraId="6DCE7FAA" w14:textId="77777777" w:rsidR="000D07BE" w:rsidRDefault="000D07B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cs="Arial"/>
        </w:rPr>
        <w:t>A</w:t>
      </w:r>
      <w:r w:rsidRPr="002D08B3">
        <w:rPr>
          <w:rFonts w:cs="Arial"/>
        </w:rPr>
        <w:t xml:space="preserve">s defined in note 1 to </w:t>
      </w:r>
      <w:r>
        <w:rPr>
          <w:rFonts w:cs="Arial"/>
        </w:rPr>
        <w:t>Table </w:t>
      </w:r>
      <w:r w:rsidRPr="002D08B3">
        <w:rPr>
          <w:rFonts w:cs="Arial"/>
        </w:rPr>
        <w:t>1</w:t>
      </w:r>
    </w:p>
  </w:footnote>
  <w:footnote w:id="10">
    <w:p w14:paraId="046CB077" w14:textId="60DDC4BD" w:rsidR="000D07BE" w:rsidRDefault="000D07BE" w:rsidP="00305026">
      <w:pPr>
        <w:pStyle w:val="FootnoteText"/>
      </w:pPr>
      <w:r>
        <w:rPr>
          <w:rStyle w:val="FootnoteReference"/>
        </w:rPr>
        <w:footnoteRef/>
      </w:r>
      <w:r>
        <w:t xml:space="preserve"> S.I. 1995/2561 and see the Local Authorities (Calculation of Council Tax Base) (Wales) (Amendment) Regulations 1999 (S.I. 1999/2935) (W. 27), the Local Authorities (Calculation of Council Tax Base) and the Council Tax (Prescribed Classes of Dwellings) (Wales) (Amendment) Regulations 2004 (S.I. 2004/3094) (W. 268), the Local Authorities (Calculation of Council Tax Base) (Wales) (Amendment) Regulations 2016 SI 2016/969) (W. 238) (amendments in force from 28 October 2016).</w:t>
      </w:r>
    </w:p>
  </w:footnote>
  <w:footnote w:id="11">
    <w:p w14:paraId="58BA6A65" w14:textId="5D692301" w:rsidR="000D07BE" w:rsidRDefault="000D07BE" w:rsidP="00305026">
      <w:pPr>
        <w:pStyle w:val="FootnoteText"/>
      </w:pPr>
      <w:r>
        <w:rPr>
          <w:rStyle w:val="FootnoteReference"/>
        </w:rPr>
        <w:footnoteRef/>
      </w:r>
      <w:r>
        <w:t xml:space="preserve"> See the Revenue Support Grant (Specified Bodies) (Amendment) (Wales) Regulations 2003 (S.I. 2003/706) (W. 85) and the Revenue Support Grant (Specified Bodies) (Wales) (Amendment) Regulations 2006 (S.I. 2006/764) (W. 73).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6C202" w14:textId="73411735" w:rsidR="000D07BE" w:rsidRPr="00A70DAD" w:rsidRDefault="000D07BE" w:rsidP="005D19AC">
    <w:pPr>
      <w:pStyle w:val="Header"/>
      <w:spacing w:after="60"/>
      <w:jc w:val="center"/>
      <w:rPr>
        <w:rFonts w:cs="Arial"/>
        <w:sz w:val="32"/>
      </w:rPr>
    </w:pPr>
    <w:r w:rsidRPr="00A70DAD">
      <w:rPr>
        <w:rFonts w:cs="Arial"/>
        <w:sz w:val="32"/>
      </w:rPr>
      <w:t xml:space="preserve">LOCAL GOVERNMENT FINANCE REPORT (No.1) </w:t>
    </w:r>
    <w:r>
      <w:rPr>
        <w:rFonts w:cs="Arial"/>
        <w:sz w:val="32"/>
      </w:rPr>
      <w:t>2022-23</w:t>
    </w:r>
  </w:p>
  <w:p w14:paraId="3C2DBC71" w14:textId="1F9BBF76" w:rsidR="000D07BE" w:rsidRPr="00A70DAD" w:rsidRDefault="000D07BE" w:rsidP="005D19AC">
    <w:pPr>
      <w:pStyle w:val="Header"/>
      <w:spacing w:after="60"/>
      <w:jc w:val="center"/>
      <w:rPr>
        <w:rFonts w:cs="Arial"/>
        <w:sz w:val="32"/>
      </w:rPr>
    </w:pPr>
    <w:r w:rsidRPr="00A70DAD">
      <w:rPr>
        <w:rFonts w:cs="Arial"/>
        <w:sz w:val="32"/>
      </w:rPr>
      <w:t>(</w:t>
    </w:r>
    <w:r>
      <w:rPr>
        <w:rFonts w:cs="Arial"/>
        <w:sz w:val="32"/>
      </w:rPr>
      <w:t xml:space="preserve">Final </w:t>
    </w:r>
    <w:r w:rsidRPr="00A70DAD">
      <w:rPr>
        <w:rFonts w:cs="Arial"/>
        <w:sz w:val="32"/>
      </w:rPr>
      <w:t xml:space="preserve">Settlement </w:t>
    </w:r>
    <w:r>
      <w:rPr>
        <w:rFonts w:cs="Arial"/>
        <w:sz w:val="32"/>
      </w:rPr>
      <w:t>–</w:t>
    </w:r>
    <w:r w:rsidRPr="00A70DAD">
      <w:rPr>
        <w:rFonts w:cs="Arial"/>
        <w:sz w:val="32"/>
      </w:rPr>
      <w:t xml:space="preserve"> Councils)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5FFEF1E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705CED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25E09D5"/>
    <w:multiLevelType w:val="multilevel"/>
    <w:tmpl w:val="C06A1F66"/>
    <w:lvl w:ilvl="0">
      <w:start w:val="3"/>
      <w:numFmt w:val="decimal"/>
      <w:lvlText w:val="%1"/>
      <w:legacy w:legacy="1" w:legacySpace="0" w:legacyIndent="0"/>
      <w:lvlJc w:val="left"/>
    </w:lvl>
    <w:lvl w:ilvl="1">
      <w:start w:val="2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08606DD0"/>
    <w:multiLevelType w:val="multilevel"/>
    <w:tmpl w:val="36BAEE5C"/>
    <w:lvl w:ilvl="0">
      <w:start w:val="3"/>
      <w:numFmt w:val="decimal"/>
      <w:lvlText w:val="%1"/>
      <w:legacy w:legacy="1" w:legacySpace="0" w:legacyIndent="0"/>
      <w:lvlJc w:val="left"/>
    </w:lvl>
    <w:lvl w:ilvl="1">
      <w:start w:val="2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09204C41"/>
    <w:multiLevelType w:val="hybridMultilevel"/>
    <w:tmpl w:val="B508A246"/>
    <w:lvl w:ilvl="0" w:tplc="305EF014">
      <w:start w:val="1"/>
      <w:numFmt w:val="decimal"/>
      <w:pStyle w:val="NumberingCh2"/>
      <w:lvlText w:val="2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A2B49"/>
    <w:multiLevelType w:val="hybridMultilevel"/>
    <w:tmpl w:val="2BE2D5B0"/>
    <w:lvl w:ilvl="0" w:tplc="66A4F8F8">
      <w:start w:val="1"/>
      <w:numFmt w:val="decimal"/>
      <w:pStyle w:val="ListParagraph"/>
      <w:lvlText w:val="1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82DBB"/>
    <w:multiLevelType w:val="hybridMultilevel"/>
    <w:tmpl w:val="50D69378"/>
    <w:lvl w:ilvl="0" w:tplc="C1AA1ACA">
      <w:start w:val="1"/>
      <w:numFmt w:val="decimal"/>
      <w:pStyle w:val="NumberingCh3"/>
      <w:lvlText w:val="3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03F63"/>
    <w:multiLevelType w:val="singleLevel"/>
    <w:tmpl w:val="0AA4B0D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</w:abstractNum>
  <w:abstractNum w:abstractNumId="9" w15:restartNumberingAfterBreak="0">
    <w:nsid w:val="2A6C3EDB"/>
    <w:multiLevelType w:val="singleLevel"/>
    <w:tmpl w:val="4D006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2B994A40"/>
    <w:multiLevelType w:val="multilevel"/>
    <w:tmpl w:val="877C160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6"/>
      <w:numFmt w:val="decimal"/>
      <w:lvlText w:val="%1.%2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1440" w:hanging="720"/>
      </w:pPr>
    </w:lvl>
    <w:lvl w:ilvl="3">
      <w:start w:val="1"/>
      <w:numFmt w:val="decimal"/>
      <w:lvlText w:val="%1.%2.%3.%4"/>
      <w:legacy w:legacy="1" w:legacySpace="120" w:legacyIndent="1080"/>
      <w:lvlJc w:val="left"/>
      <w:pPr>
        <w:ind w:left="2520" w:hanging="1080"/>
      </w:pPr>
    </w:lvl>
    <w:lvl w:ilvl="4">
      <w:start w:val="1"/>
      <w:numFmt w:val="decimal"/>
      <w:lvlText w:val="%1.%2.%3.%4.%5"/>
      <w:legacy w:legacy="1" w:legacySpace="120" w:legacyIndent="1080"/>
      <w:lvlJc w:val="left"/>
      <w:pPr>
        <w:ind w:left="3600" w:hanging="1080"/>
      </w:pPr>
    </w:lvl>
    <w:lvl w:ilvl="5">
      <w:start w:val="1"/>
      <w:numFmt w:val="decimal"/>
      <w:lvlText w:val="%1.%2.%3.%4.%5.%6"/>
      <w:legacy w:legacy="1" w:legacySpace="120" w:legacyIndent="1440"/>
      <w:lvlJc w:val="left"/>
      <w:pPr>
        <w:ind w:left="5040" w:hanging="1440"/>
      </w:pPr>
    </w:lvl>
    <w:lvl w:ilvl="6">
      <w:start w:val="1"/>
      <w:numFmt w:val="decimal"/>
      <w:lvlText w:val="%1.%2.%3.%4.%5.%6.%7"/>
      <w:legacy w:legacy="1" w:legacySpace="120" w:legacyIndent="1440"/>
      <w:lvlJc w:val="left"/>
      <w:pPr>
        <w:ind w:left="6480" w:hanging="1440"/>
      </w:pPr>
    </w:lvl>
    <w:lvl w:ilvl="7">
      <w:start w:val="1"/>
      <w:numFmt w:val="decimal"/>
      <w:lvlText w:val="%1.%2.%3.%4.%5.%6.%7.%8"/>
      <w:legacy w:legacy="1" w:legacySpace="120" w:legacyIndent="1800"/>
      <w:lvlJc w:val="left"/>
      <w:pPr>
        <w:ind w:left="8280" w:hanging="180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0080" w:hanging="1800"/>
      </w:pPr>
    </w:lvl>
  </w:abstractNum>
  <w:abstractNum w:abstractNumId="11" w15:restartNumberingAfterBreak="0">
    <w:nsid w:val="2C7B2DCC"/>
    <w:multiLevelType w:val="multilevel"/>
    <w:tmpl w:val="39D2BC18"/>
    <w:lvl w:ilvl="0">
      <w:start w:val="8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12" w15:restartNumberingAfterBreak="0">
    <w:nsid w:val="2D78147C"/>
    <w:multiLevelType w:val="hybridMultilevel"/>
    <w:tmpl w:val="2F80B01C"/>
    <w:lvl w:ilvl="0" w:tplc="5EE4AFF0">
      <w:start w:val="1"/>
      <w:numFmt w:val="lowerLetter"/>
      <w:lvlText w:val="(%1)"/>
      <w:lvlJc w:val="left"/>
      <w:pPr>
        <w:ind w:left="71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2EA82976"/>
    <w:multiLevelType w:val="multilevel"/>
    <w:tmpl w:val="71ECD73E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0B97237"/>
    <w:multiLevelType w:val="singleLevel"/>
    <w:tmpl w:val="0FF48A5E"/>
    <w:lvl w:ilvl="0">
      <w:start w:val="48"/>
      <w:numFmt w:val="decimal"/>
      <w:lvlText w:val="%1."/>
      <w:legacy w:legacy="1" w:legacySpace="0" w:legacyIndent="720"/>
      <w:lvlJc w:val="left"/>
      <w:pPr>
        <w:ind w:left="720" w:hanging="720"/>
      </w:pPr>
      <w:rPr>
        <w:i w:val="0"/>
      </w:rPr>
    </w:lvl>
  </w:abstractNum>
  <w:abstractNum w:abstractNumId="15" w15:restartNumberingAfterBreak="0">
    <w:nsid w:val="371732AE"/>
    <w:multiLevelType w:val="singleLevel"/>
    <w:tmpl w:val="2B56F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1FF14B7"/>
    <w:multiLevelType w:val="hybridMultilevel"/>
    <w:tmpl w:val="B322A2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AC57AD"/>
    <w:multiLevelType w:val="singleLevel"/>
    <w:tmpl w:val="AEA4593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</w:abstractNum>
  <w:abstractNum w:abstractNumId="18" w15:restartNumberingAfterBreak="0">
    <w:nsid w:val="4AF608C9"/>
    <w:multiLevelType w:val="multilevel"/>
    <w:tmpl w:val="56A6AB40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B9F30E1"/>
    <w:multiLevelType w:val="singleLevel"/>
    <w:tmpl w:val="A4E2F2C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5C15538A"/>
    <w:multiLevelType w:val="multilevel"/>
    <w:tmpl w:val="61521180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65"/>
        </w:tabs>
        <w:ind w:left="465" w:hanging="465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CCB1EC5"/>
    <w:multiLevelType w:val="singleLevel"/>
    <w:tmpl w:val="E2705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22" w15:restartNumberingAfterBreak="0">
    <w:nsid w:val="62981DF3"/>
    <w:multiLevelType w:val="hybridMultilevel"/>
    <w:tmpl w:val="73C610AE"/>
    <w:lvl w:ilvl="0" w:tplc="5C221A68">
      <w:start w:val="5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2C3D7D"/>
    <w:multiLevelType w:val="singleLevel"/>
    <w:tmpl w:val="567EA3FA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24" w15:restartNumberingAfterBreak="0">
    <w:nsid w:val="645B41B4"/>
    <w:multiLevelType w:val="multilevel"/>
    <w:tmpl w:val="56A6AB40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9801819"/>
    <w:multiLevelType w:val="multilevel"/>
    <w:tmpl w:val="FAA42E86"/>
    <w:lvl w:ilvl="0">
      <w:start w:val="3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6" w15:restartNumberingAfterBreak="0">
    <w:nsid w:val="6CE67E7D"/>
    <w:multiLevelType w:val="hybridMultilevel"/>
    <w:tmpl w:val="AC6665CC"/>
    <w:lvl w:ilvl="0" w:tplc="FB301B40">
      <w:start w:val="1"/>
      <w:numFmt w:val="decimal"/>
      <w:pStyle w:val="Numbering5"/>
      <w:lvlText w:val="5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B21595"/>
    <w:multiLevelType w:val="hybridMultilevel"/>
    <w:tmpl w:val="C6345294"/>
    <w:lvl w:ilvl="0" w:tplc="D152B3D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8" w15:restartNumberingAfterBreak="0">
    <w:nsid w:val="7AA029BD"/>
    <w:multiLevelType w:val="multilevel"/>
    <w:tmpl w:val="FA7892C4"/>
    <w:lvl w:ilvl="0">
      <w:start w:val="5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29" w15:restartNumberingAfterBreak="0">
    <w:nsid w:val="7E0A0703"/>
    <w:multiLevelType w:val="multilevel"/>
    <w:tmpl w:val="412A6648"/>
    <w:lvl w:ilvl="0">
      <w:start w:val="7"/>
      <w:numFmt w:val="decimal"/>
      <w:lvlText w:val="%1"/>
      <w:legacy w:legacy="1" w:legacySpace="0" w:legacyIndent="0"/>
      <w:lvlJc w:val="left"/>
    </w:lvl>
    <w:lvl w:ilvl="1">
      <w:start w:val="2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6"/>
        <w:numFmt w:val="decimal"/>
        <w:lvlText w:val="%1.%2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"/>
        <w:legacy w:legacy="1" w:legacySpace="120" w:legacyIndent="1080"/>
        <w:lvlJc w:val="left"/>
        <w:pPr>
          <w:ind w:left="2520" w:hanging="1080"/>
        </w:pPr>
      </w:lvl>
    </w:lvlOverride>
    <w:lvlOverride w:ilvl="4">
      <w:lvl w:ilvl="4">
        <w:start w:val="1"/>
        <w:numFmt w:val="decimal"/>
        <w:lvlText w:val="%1.%2.%3.%4.%5"/>
        <w:legacy w:legacy="1" w:legacySpace="120" w:legacyIndent="1080"/>
        <w:lvlJc w:val="left"/>
        <w:pPr>
          <w:ind w:left="3600" w:hanging="1080"/>
        </w:pPr>
      </w:lvl>
    </w:lvlOverride>
    <w:lvlOverride w:ilvl="5">
      <w:lvl w:ilvl="5">
        <w:start w:val="1"/>
        <w:numFmt w:val="decimal"/>
        <w:lvlText w:val="%1.%2.%3.%4.%5.%6"/>
        <w:legacy w:legacy="1" w:legacySpace="120" w:legacyIndent="1440"/>
        <w:lvlJc w:val="left"/>
        <w:pPr>
          <w:ind w:left="5040" w:hanging="1440"/>
        </w:pPr>
      </w:lvl>
    </w:lvlOverride>
    <w:lvlOverride w:ilvl="6">
      <w:lvl w:ilvl="6">
        <w:start w:val="1"/>
        <w:numFmt w:val="decimal"/>
        <w:lvlText w:val="%1.%2.%3.%4.%5.%6.%7"/>
        <w:legacy w:legacy="1" w:legacySpace="120" w:legacyIndent="1440"/>
        <w:lvlJc w:val="left"/>
        <w:pPr>
          <w:ind w:left="6480" w:hanging="1440"/>
        </w:pPr>
      </w:lvl>
    </w:lvlOverride>
    <w:lvlOverride w:ilvl="7">
      <w:lvl w:ilvl="7">
        <w:start w:val="1"/>
        <w:numFmt w:val="decimal"/>
        <w:lvlText w:val="%1.%2.%3.%4.%5.%6.%7.%8"/>
        <w:legacy w:legacy="1" w:legacySpace="120" w:legacyIndent="1800"/>
        <w:lvlJc w:val="left"/>
        <w:pPr>
          <w:ind w:left="8280" w:hanging="1800"/>
        </w:pPr>
      </w:lvl>
    </w:lvlOverride>
    <w:lvlOverride w:ilvl="8">
      <w:lvl w:ilvl="8">
        <w:start w:val="1"/>
        <w:numFmt w:val="decimal"/>
        <w:lvlText w:val="%1.%2.%3.%4.%5.%6.%7.%8.%9"/>
        <w:legacy w:legacy="1" w:legacySpace="120" w:legacyIndent="1800"/>
        <w:lvlJc w:val="left"/>
        <w:pPr>
          <w:ind w:left="10080" w:hanging="1800"/>
        </w:pPr>
      </w:lvl>
    </w:lvlOverride>
  </w:num>
  <w:num w:numId="3">
    <w:abstractNumId w:val="4"/>
  </w:num>
  <w:num w:numId="4">
    <w:abstractNumId w:val="25"/>
  </w:num>
  <w:num w:numId="5">
    <w:abstractNumId w:val="3"/>
  </w:num>
  <w:num w:numId="6">
    <w:abstractNumId w:val="28"/>
  </w:num>
  <w:num w:numId="7">
    <w:abstractNumId w:val="28"/>
    <w:lvlOverride w:ilvl="0">
      <w:lvl w:ilvl="0">
        <w:start w:val="5"/>
        <w:numFmt w:val="decimal"/>
        <w:lvlText w:val="%1"/>
        <w:legacy w:legacy="1" w:legacySpace="0" w:legacyIndent="0"/>
        <w:lvlJc w:val="left"/>
      </w:lvl>
    </w:lvlOverride>
    <w:lvlOverride w:ilvl="1">
      <w:lvl w:ilvl="1">
        <w:start w:val="1"/>
        <w:numFmt w:val="decimal"/>
        <w:lvlText w:val="%1.%2"/>
        <w:legacy w:legacy="1" w:legacySpace="0" w:legacyIndent="0"/>
        <w:lvlJc w:val="left"/>
      </w:lvl>
    </w:lvlOverride>
    <w:lvlOverride w:ilvl="2">
      <w:lvl w:ilvl="2">
        <w:start w:val="1"/>
        <w:numFmt w:val="decimal"/>
        <w:lvlText w:val="%1.%2.%3"/>
        <w:legacy w:legacy="1" w:legacySpace="0" w:legacyIndent="0"/>
        <w:lvlJc w:val="left"/>
      </w:lvl>
    </w:lvlOverride>
    <w:lvlOverride w:ilvl="3">
      <w:lvl w:ilvl="3">
        <w:start w:val="1"/>
        <w:numFmt w:val="decimal"/>
        <w:lvlText w:val="%1.%2.%3.%4"/>
        <w:legacy w:legacy="1" w:legacySpace="0" w:legacyIndent="0"/>
        <w:lvlJc w:val="left"/>
      </w:lvl>
    </w:lvlOverride>
    <w:lvlOverride w:ilvl="4">
      <w:lvl w:ilvl="4">
        <w:start w:val="1"/>
        <w:numFmt w:val="decimal"/>
        <w:lvlText w:val="%1.%2.%3.%4.%5"/>
        <w:legacy w:legacy="1" w:legacySpace="0" w:legacyIndent="0"/>
        <w:lvlJc w:val="left"/>
      </w:lvl>
    </w:lvlOverride>
    <w:lvlOverride w:ilvl="5">
      <w:lvl w:ilvl="5">
        <w:start w:val="1"/>
        <w:numFmt w:val="decimal"/>
        <w:lvlText w:val="%1.%2.%3.%4.%5.%6"/>
        <w:legacy w:legacy="1" w:legacySpace="0" w:legacyIndent="0"/>
        <w:lvlJc w:val="left"/>
      </w:lvl>
    </w:lvlOverride>
    <w:lvlOverride w:ilvl="6">
      <w:lvl w:ilvl="6">
        <w:start w:val="1"/>
        <w:numFmt w:val="decimal"/>
        <w:lvlText w:val="%1.%2.%3.%4.%5.%6.%7"/>
        <w:legacy w:legacy="1" w:legacySpace="0" w:legacyIndent="0"/>
        <w:lvlJc w:val="left"/>
      </w:lvl>
    </w:lvlOverride>
    <w:lvlOverride w:ilvl="7">
      <w:lvl w:ilvl="7">
        <w:start w:val="1"/>
        <w:numFmt w:val="decimal"/>
        <w:lvlText w:val="%1.%2.%3.%4.%5.%6.%7.%8"/>
        <w:legacy w:legacy="1" w:legacySpace="0" w:legacyIndent="0"/>
        <w:lvlJc w:val="left"/>
      </w:lvl>
    </w:lvlOverride>
    <w:lvlOverride w:ilvl="8">
      <w:lvl w:ilvl="8">
        <w:start w:val="1"/>
        <w:numFmt w:val="decimal"/>
        <w:lvlText w:val="%1.%2.%3.%4.%5.%6.%7.%8.%9"/>
        <w:legacy w:legacy="1" w:legacySpace="120" w:legacyIndent="1800"/>
        <w:lvlJc w:val="left"/>
        <w:pPr>
          <w:ind w:left="1800" w:hanging="1800"/>
        </w:pPr>
      </w:lvl>
    </w:lvlOverride>
  </w:num>
  <w:num w:numId="8">
    <w:abstractNumId w:val="28"/>
    <w:lvlOverride w:ilvl="0">
      <w:lvl w:ilvl="0">
        <w:start w:val="5"/>
        <w:numFmt w:val="decimal"/>
        <w:lvlText w:val="%1"/>
        <w:legacy w:legacy="1" w:legacySpace="0" w:legacyIndent="0"/>
        <w:lvlJc w:val="left"/>
      </w:lvl>
    </w:lvlOverride>
    <w:lvlOverride w:ilvl="1">
      <w:lvl w:ilvl="1">
        <w:start w:val="1"/>
        <w:numFmt w:val="decimal"/>
        <w:lvlText w:val="%1.%2"/>
        <w:legacy w:legacy="1" w:legacySpace="0" w:legacyIndent="0"/>
        <w:lvlJc w:val="left"/>
      </w:lvl>
    </w:lvlOverride>
    <w:lvlOverride w:ilvl="2">
      <w:lvl w:ilvl="2">
        <w:start w:val="1"/>
        <w:numFmt w:val="decimal"/>
        <w:lvlText w:val="%1.%2.%3"/>
        <w:legacy w:legacy="1" w:legacySpace="0" w:legacyIndent="0"/>
        <w:lvlJc w:val="left"/>
      </w:lvl>
    </w:lvlOverride>
    <w:lvlOverride w:ilvl="3">
      <w:lvl w:ilvl="3">
        <w:start w:val="1"/>
        <w:numFmt w:val="decimal"/>
        <w:lvlText w:val="%1.%2.%3.%4"/>
        <w:legacy w:legacy="1" w:legacySpace="0" w:legacyIndent="0"/>
        <w:lvlJc w:val="left"/>
      </w:lvl>
    </w:lvlOverride>
    <w:lvlOverride w:ilvl="4">
      <w:lvl w:ilvl="4">
        <w:start w:val="1"/>
        <w:numFmt w:val="decimal"/>
        <w:lvlText w:val="%1.%2.%3.%4.%5"/>
        <w:legacy w:legacy="1" w:legacySpace="0" w:legacyIndent="0"/>
        <w:lvlJc w:val="left"/>
      </w:lvl>
    </w:lvlOverride>
    <w:lvlOverride w:ilvl="5">
      <w:lvl w:ilvl="5">
        <w:start w:val="1"/>
        <w:numFmt w:val="decimal"/>
        <w:lvlText w:val="%1.%2.%3.%4.%5.%6"/>
        <w:legacy w:legacy="1" w:legacySpace="0" w:legacyIndent="0"/>
        <w:lvlJc w:val="left"/>
      </w:lvl>
    </w:lvlOverride>
    <w:lvlOverride w:ilvl="6">
      <w:lvl w:ilvl="6">
        <w:start w:val="1"/>
        <w:numFmt w:val="decimal"/>
        <w:lvlText w:val="%1.%2.%3.%4.%5.%6.%7"/>
        <w:legacy w:legacy="1" w:legacySpace="0" w:legacyIndent="0"/>
        <w:lvlJc w:val="left"/>
      </w:lvl>
    </w:lvlOverride>
    <w:lvlOverride w:ilvl="7">
      <w:lvl w:ilvl="7">
        <w:start w:val="1"/>
        <w:numFmt w:val="decimal"/>
        <w:lvlText w:val="%1.%2.%3.%4.%5.%6.%7.%8"/>
        <w:legacy w:legacy="1" w:legacySpace="0" w:legacyIndent="0"/>
        <w:lvlJc w:val="left"/>
      </w:lvl>
    </w:lvlOverride>
    <w:lvlOverride w:ilvl="8">
      <w:lvl w:ilvl="8">
        <w:start w:val="1"/>
        <w:numFmt w:val="decimal"/>
        <w:lvlText w:val="%1.%2.%3.%4.%5.%6.%7.%8.%9"/>
        <w:legacy w:legacy="1" w:legacySpace="120" w:legacyIndent="1800"/>
        <w:lvlJc w:val="left"/>
        <w:pPr>
          <w:ind w:left="1800" w:hanging="1800"/>
        </w:pPr>
      </w:lvl>
    </w:lvlOverride>
  </w:num>
  <w:num w:numId="9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0">
    <w:abstractNumId w:val="29"/>
  </w:num>
  <w:num w:numId="11">
    <w:abstractNumId w:val="29"/>
    <w:lvlOverride w:ilvl="0">
      <w:lvl w:ilvl="0">
        <w:start w:val="7"/>
        <w:numFmt w:val="decimal"/>
        <w:lvlText w:val="%1"/>
        <w:legacy w:legacy="1" w:legacySpace="0" w:legacyIndent="0"/>
        <w:lvlJc w:val="left"/>
      </w:lvl>
    </w:lvlOverride>
    <w:lvlOverride w:ilvl="1">
      <w:lvl w:ilvl="1">
        <w:start w:val="2"/>
        <w:numFmt w:val="decimal"/>
        <w:lvlText w:val="%1.%2"/>
        <w:legacy w:legacy="1" w:legacySpace="0" w:legacyIndent="0"/>
        <w:lvlJc w:val="left"/>
      </w:lvl>
    </w:lvlOverride>
    <w:lvlOverride w:ilvl="2">
      <w:lvl w:ilvl="2">
        <w:start w:val="1"/>
        <w:numFmt w:val="decimal"/>
        <w:lvlText w:val="%1.%2.%3"/>
        <w:legacy w:legacy="1" w:legacySpace="0" w:legacyIndent="0"/>
        <w:lvlJc w:val="left"/>
      </w:lvl>
    </w:lvlOverride>
    <w:lvlOverride w:ilvl="3">
      <w:lvl w:ilvl="3">
        <w:start w:val="1"/>
        <w:numFmt w:val="decimal"/>
        <w:lvlText w:val="%1.%2.%3.%4"/>
        <w:legacy w:legacy="1" w:legacySpace="0" w:legacyIndent="0"/>
        <w:lvlJc w:val="left"/>
      </w:lvl>
    </w:lvlOverride>
    <w:lvlOverride w:ilvl="4">
      <w:lvl w:ilvl="4">
        <w:start w:val="1"/>
        <w:numFmt w:val="decimal"/>
        <w:lvlText w:val="%1.%2.%3.%4.%5"/>
        <w:legacy w:legacy="1" w:legacySpace="0" w:legacyIndent="0"/>
        <w:lvlJc w:val="left"/>
      </w:lvl>
    </w:lvlOverride>
    <w:lvlOverride w:ilvl="5">
      <w:lvl w:ilvl="5">
        <w:start w:val="1"/>
        <w:numFmt w:val="decimal"/>
        <w:lvlText w:val="%1.%2.%3.%4.%5.%6"/>
        <w:legacy w:legacy="1" w:legacySpace="0" w:legacyIndent="0"/>
        <w:lvlJc w:val="left"/>
      </w:lvl>
    </w:lvlOverride>
    <w:lvlOverride w:ilvl="6">
      <w:lvl w:ilvl="6">
        <w:start w:val="1"/>
        <w:numFmt w:val="decimal"/>
        <w:lvlText w:val="%1.%2.%3.%4.%5.%6.%7"/>
        <w:legacy w:legacy="1" w:legacySpace="0" w:legacyIndent="0"/>
        <w:lvlJc w:val="left"/>
      </w:lvl>
    </w:lvlOverride>
    <w:lvlOverride w:ilvl="7">
      <w:lvl w:ilvl="7">
        <w:start w:val="1"/>
        <w:numFmt w:val="decimal"/>
        <w:lvlText w:val="%1.%2.%3.%4.%5.%6.%7.%8"/>
        <w:legacy w:legacy="1" w:legacySpace="0" w:legacyIndent="0"/>
        <w:lvlJc w:val="left"/>
      </w:lvl>
    </w:lvlOverride>
    <w:lvlOverride w:ilvl="8">
      <w:lvl w:ilvl="8">
        <w:start w:val="1"/>
        <w:numFmt w:val="decimal"/>
        <w:lvlText w:val="%1.%2.%3.%4.%5.%6.%7.%8.%9"/>
        <w:legacy w:legacy="1" w:legacySpace="120" w:legacyIndent="1800"/>
        <w:lvlJc w:val="left"/>
        <w:pPr>
          <w:ind w:left="1800" w:hanging="1800"/>
        </w:pPr>
      </w:lvl>
    </w:lvlOverride>
  </w:num>
  <w:num w:numId="12">
    <w:abstractNumId w:val="11"/>
  </w:num>
  <w:num w:numId="13">
    <w:abstractNumId w:val="2"/>
    <w:lvlOverride w:ilvl="0">
      <w:lvl w:ilvl="0">
        <w:numFmt w:val="bullet"/>
        <w:lvlText w:val="-"/>
        <w:legacy w:legacy="1" w:legacySpace="0" w:legacyIndent="1080"/>
        <w:lvlJc w:val="left"/>
        <w:pPr>
          <w:ind w:left="1800" w:hanging="1080"/>
        </w:pPr>
      </w:lvl>
    </w:lvlOverride>
  </w:num>
  <w:num w:numId="14">
    <w:abstractNumId w:val="14"/>
  </w:num>
  <w:num w:numId="15">
    <w:abstractNumId w:val="21"/>
  </w:num>
  <w:num w:numId="16">
    <w:abstractNumId w:val="23"/>
  </w:num>
  <w:num w:numId="17">
    <w:abstractNumId w:val="20"/>
  </w:num>
  <w:num w:numId="18">
    <w:abstractNumId w:val="9"/>
  </w:num>
  <w:num w:numId="19">
    <w:abstractNumId w:val="17"/>
  </w:num>
  <w:num w:numId="20">
    <w:abstractNumId w:val="8"/>
  </w:num>
  <w:num w:numId="21">
    <w:abstractNumId w:val="18"/>
  </w:num>
  <w:num w:numId="22">
    <w:abstractNumId w:val="1"/>
  </w:num>
  <w:num w:numId="23">
    <w:abstractNumId w:val="0"/>
  </w:num>
  <w:num w:numId="24">
    <w:abstractNumId w:val="19"/>
  </w:num>
  <w:num w:numId="25">
    <w:abstractNumId w:val="22"/>
  </w:num>
  <w:num w:numId="26">
    <w:abstractNumId w:val="15"/>
  </w:num>
  <w:num w:numId="27">
    <w:abstractNumId w:val="16"/>
  </w:num>
  <w:num w:numId="28">
    <w:abstractNumId w:val="27"/>
  </w:num>
  <w:num w:numId="29">
    <w:abstractNumId w:val="24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6"/>
  </w:num>
  <w:num w:numId="35">
    <w:abstractNumId w:val="6"/>
    <w:lvlOverride w:ilvl="0">
      <w:startOverride w:val="1"/>
    </w:lvlOverride>
  </w:num>
  <w:num w:numId="36">
    <w:abstractNumId w:val="6"/>
  </w:num>
  <w:num w:numId="37">
    <w:abstractNumId w:val="6"/>
  </w:num>
  <w:num w:numId="38">
    <w:abstractNumId w:val="5"/>
  </w:num>
  <w:num w:numId="39">
    <w:abstractNumId w:val="7"/>
  </w:num>
  <w:num w:numId="40">
    <w:abstractNumId w:val="7"/>
  </w:num>
  <w:num w:numId="41">
    <w:abstractNumId w:val="26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GB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6AE"/>
    <w:rsid w:val="00001DF4"/>
    <w:rsid w:val="000026B5"/>
    <w:rsid w:val="000042F4"/>
    <w:rsid w:val="0000680C"/>
    <w:rsid w:val="00006BF7"/>
    <w:rsid w:val="0001072D"/>
    <w:rsid w:val="00012AB1"/>
    <w:rsid w:val="00012B57"/>
    <w:rsid w:val="000134B1"/>
    <w:rsid w:val="0001418B"/>
    <w:rsid w:val="0001761C"/>
    <w:rsid w:val="00024798"/>
    <w:rsid w:val="00024F6E"/>
    <w:rsid w:val="00026A5C"/>
    <w:rsid w:val="000315C7"/>
    <w:rsid w:val="000408CC"/>
    <w:rsid w:val="00043621"/>
    <w:rsid w:val="0005395F"/>
    <w:rsid w:val="00054E00"/>
    <w:rsid w:val="00056C81"/>
    <w:rsid w:val="000615EB"/>
    <w:rsid w:val="00063946"/>
    <w:rsid w:val="000647A4"/>
    <w:rsid w:val="000661BC"/>
    <w:rsid w:val="00071FBD"/>
    <w:rsid w:val="0007201D"/>
    <w:rsid w:val="00072B81"/>
    <w:rsid w:val="00073E61"/>
    <w:rsid w:val="00076E09"/>
    <w:rsid w:val="00077D55"/>
    <w:rsid w:val="000816CD"/>
    <w:rsid w:val="00081BE3"/>
    <w:rsid w:val="00083BDC"/>
    <w:rsid w:val="00086558"/>
    <w:rsid w:val="000871A5"/>
    <w:rsid w:val="00090261"/>
    <w:rsid w:val="000919B8"/>
    <w:rsid w:val="00094364"/>
    <w:rsid w:val="00095BF9"/>
    <w:rsid w:val="000971AB"/>
    <w:rsid w:val="0009773B"/>
    <w:rsid w:val="000A2BAE"/>
    <w:rsid w:val="000A3190"/>
    <w:rsid w:val="000A4BD4"/>
    <w:rsid w:val="000A665F"/>
    <w:rsid w:val="000A73B7"/>
    <w:rsid w:val="000B00EF"/>
    <w:rsid w:val="000B3FBB"/>
    <w:rsid w:val="000B629A"/>
    <w:rsid w:val="000B6A6F"/>
    <w:rsid w:val="000C01AE"/>
    <w:rsid w:val="000C058D"/>
    <w:rsid w:val="000C1822"/>
    <w:rsid w:val="000C1EAF"/>
    <w:rsid w:val="000C3686"/>
    <w:rsid w:val="000C6B7B"/>
    <w:rsid w:val="000C6E4B"/>
    <w:rsid w:val="000D07BE"/>
    <w:rsid w:val="000D34D2"/>
    <w:rsid w:val="000D5F2A"/>
    <w:rsid w:val="000E55ED"/>
    <w:rsid w:val="000E7C30"/>
    <w:rsid w:val="000F2A0F"/>
    <w:rsid w:val="00100825"/>
    <w:rsid w:val="00101238"/>
    <w:rsid w:val="00103116"/>
    <w:rsid w:val="0010521D"/>
    <w:rsid w:val="001072FF"/>
    <w:rsid w:val="00114479"/>
    <w:rsid w:val="0011759A"/>
    <w:rsid w:val="00123E93"/>
    <w:rsid w:val="00124010"/>
    <w:rsid w:val="00125A97"/>
    <w:rsid w:val="00131965"/>
    <w:rsid w:val="001347EC"/>
    <w:rsid w:val="00143146"/>
    <w:rsid w:val="00143634"/>
    <w:rsid w:val="00143749"/>
    <w:rsid w:val="00152F36"/>
    <w:rsid w:val="00152FA5"/>
    <w:rsid w:val="00152FA7"/>
    <w:rsid w:val="00154D52"/>
    <w:rsid w:val="00155971"/>
    <w:rsid w:val="0016083F"/>
    <w:rsid w:val="001610A2"/>
    <w:rsid w:val="0016122C"/>
    <w:rsid w:val="00161CE3"/>
    <w:rsid w:val="00162A42"/>
    <w:rsid w:val="001634AA"/>
    <w:rsid w:val="0016484F"/>
    <w:rsid w:val="00165BF6"/>
    <w:rsid w:val="00165E15"/>
    <w:rsid w:val="001677BE"/>
    <w:rsid w:val="00171213"/>
    <w:rsid w:val="00177343"/>
    <w:rsid w:val="00177C18"/>
    <w:rsid w:val="00182996"/>
    <w:rsid w:val="00183E9E"/>
    <w:rsid w:val="00190465"/>
    <w:rsid w:val="001922AA"/>
    <w:rsid w:val="001962CD"/>
    <w:rsid w:val="0019783A"/>
    <w:rsid w:val="001A0653"/>
    <w:rsid w:val="001A11DF"/>
    <w:rsid w:val="001A2601"/>
    <w:rsid w:val="001A2D6D"/>
    <w:rsid w:val="001A33EB"/>
    <w:rsid w:val="001A39BA"/>
    <w:rsid w:val="001A5741"/>
    <w:rsid w:val="001B0D0C"/>
    <w:rsid w:val="001B3726"/>
    <w:rsid w:val="001B4300"/>
    <w:rsid w:val="001B4DDC"/>
    <w:rsid w:val="001B6F42"/>
    <w:rsid w:val="001B74BB"/>
    <w:rsid w:val="001C100F"/>
    <w:rsid w:val="001C5227"/>
    <w:rsid w:val="001C7712"/>
    <w:rsid w:val="001D4EFB"/>
    <w:rsid w:val="001D5146"/>
    <w:rsid w:val="001D6429"/>
    <w:rsid w:val="001D6517"/>
    <w:rsid w:val="001D67C5"/>
    <w:rsid w:val="001D6BB5"/>
    <w:rsid w:val="001E107D"/>
    <w:rsid w:val="001E1248"/>
    <w:rsid w:val="001E1290"/>
    <w:rsid w:val="001E4877"/>
    <w:rsid w:val="001E5720"/>
    <w:rsid w:val="001E6DFA"/>
    <w:rsid w:val="001E7BD2"/>
    <w:rsid w:val="001F1B66"/>
    <w:rsid w:val="001F221A"/>
    <w:rsid w:val="001F3AB4"/>
    <w:rsid w:val="001F4E78"/>
    <w:rsid w:val="001F52D5"/>
    <w:rsid w:val="00200941"/>
    <w:rsid w:val="00201D4D"/>
    <w:rsid w:val="00203A0E"/>
    <w:rsid w:val="00206CF2"/>
    <w:rsid w:val="002110B3"/>
    <w:rsid w:val="002119BE"/>
    <w:rsid w:val="00213AF0"/>
    <w:rsid w:val="002155F7"/>
    <w:rsid w:val="00216421"/>
    <w:rsid w:val="00216A7E"/>
    <w:rsid w:val="00217F43"/>
    <w:rsid w:val="00220AC3"/>
    <w:rsid w:val="00225CE6"/>
    <w:rsid w:val="00226665"/>
    <w:rsid w:val="00230235"/>
    <w:rsid w:val="0023045E"/>
    <w:rsid w:val="00236A4D"/>
    <w:rsid w:val="002378D6"/>
    <w:rsid w:val="00237F02"/>
    <w:rsid w:val="002405CE"/>
    <w:rsid w:val="002415D8"/>
    <w:rsid w:val="002439C7"/>
    <w:rsid w:val="0025004D"/>
    <w:rsid w:val="00254D02"/>
    <w:rsid w:val="00255A21"/>
    <w:rsid w:val="00255F57"/>
    <w:rsid w:val="00257F83"/>
    <w:rsid w:val="002612FF"/>
    <w:rsid w:val="00261560"/>
    <w:rsid w:val="00261E2A"/>
    <w:rsid w:val="0026214D"/>
    <w:rsid w:val="00262C42"/>
    <w:rsid w:val="00263A00"/>
    <w:rsid w:val="00264255"/>
    <w:rsid w:val="00270ACC"/>
    <w:rsid w:val="002733CE"/>
    <w:rsid w:val="0027638C"/>
    <w:rsid w:val="00280740"/>
    <w:rsid w:val="002819E0"/>
    <w:rsid w:val="00283BE6"/>
    <w:rsid w:val="002862A1"/>
    <w:rsid w:val="002872FF"/>
    <w:rsid w:val="0029027D"/>
    <w:rsid w:val="00292A81"/>
    <w:rsid w:val="00292F08"/>
    <w:rsid w:val="00293D7C"/>
    <w:rsid w:val="0029798C"/>
    <w:rsid w:val="002A12F5"/>
    <w:rsid w:val="002A2F73"/>
    <w:rsid w:val="002A338D"/>
    <w:rsid w:val="002A3F03"/>
    <w:rsid w:val="002A5C40"/>
    <w:rsid w:val="002A6A9C"/>
    <w:rsid w:val="002A6DEA"/>
    <w:rsid w:val="002A6F69"/>
    <w:rsid w:val="002B5525"/>
    <w:rsid w:val="002B677A"/>
    <w:rsid w:val="002B700D"/>
    <w:rsid w:val="002C1209"/>
    <w:rsid w:val="002C2F37"/>
    <w:rsid w:val="002C32B9"/>
    <w:rsid w:val="002C52AE"/>
    <w:rsid w:val="002C661D"/>
    <w:rsid w:val="002D08B3"/>
    <w:rsid w:val="002D13FC"/>
    <w:rsid w:val="002D1D3F"/>
    <w:rsid w:val="002D4AF0"/>
    <w:rsid w:val="002D66C0"/>
    <w:rsid w:val="002E1089"/>
    <w:rsid w:val="002E1124"/>
    <w:rsid w:val="002E1FCD"/>
    <w:rsid w:val="002E45C7"/>
    <w:rsid w:val="002E5199"/>
    <w:rsid w:val="002E6C7F"/>
    <w:rsid w:val="002E78D8"/>
    <w:rsid w:val="002F08F5"/>
    <w:rsid w:val="002F568C"/>
    <w:rsid w:val="002F682F"/>
    <w:rsid w:val="0030082C"/>
    <w:rsid w:val="00302369"/>
    <w:rsid w:val="003030BF"/>
    <w:rsid w:val="00304704"/>
    <w:rsid w:val="00305026"/>
    <w:rsid w:val="00305424"/>
    <w:rsid w:val="003064CF"/>
    <w:rsid w:val="003101D8"/>
    <w:rsid w:val="003136A4"/>
    <w:rsid w:val="00313ECC"/>
    <w:rsid w:val="00317BC9"/>
    <w:rsid w:val="003221F0"/>
    <w:rsid w:val="003243FE"/>
    <w:rsid w:val="003265D9"/>
    <w:rsid w:val="003312B9"/>
    <w:rsid w:val="00331BCC"/>
    <w:rsid w:val="00333607"/>
    <w:rsid w:val="0033456D"/>
    <w:rsid w:val="003347AF"/>
    <w:rsid w:val="00340DFA"/>
    <w:rsid w:val="00342F47"/>
    <w:rsid w:val="003431A8"/>
    <w:rsid w:val="00343521"/>
    <w:rsid w:val="0034522E"/>
    <w:rsid w:val="0034544F"/>
    <w:rsid w:val="003463B1"/>
    <w:rsid w:val="00346925"/>
    <w:rsid w:val="003529D2"/>
    <w:rsid w:val="003533EE"/>
    <w:rsid w:val="00353765"/>
    <w:rsid w:val="00361502"/>
    <w:rsid w:val="00363446"/>
    <w:rsid w:val="00366E02"/>
    <w:rsid w:val="003673F8"/>
    <w:rsid w:val="00371346"/>
    <w:rsid w:val="00373469"/>
    <w:rsid w:val="003753C4"/>
    <w:rsid w:val="00375B61"/>
    <w:rsid w:val="00381150"/>
    <w:rsid w:val="003813C8"/>
    <w:rsid w:val="00381EF8"/>
    <w:rsid w:val="00382BCC"/>
    <w:rsid w:val="00384607"/>
    <w:rsid w:val="00386AE9"/>
    <w:rsid w:val="003878FC"/>
    <w:rsid w:val="00387FE7"/>
    <w:rsid w:val="00391A92"/>
    <w:rsid w:val="00394A5B"/>
    <w:rsid w:val="003A054F"/>
    <w:rsid w:val="003A0608"/>
    <w:rsid w:val="003A28B5"/>
    <w:rsid w:val="003A6D55"/>
    <w:rsid w:val="003B38E9"/>
    <w:rsid w:val="003B4F14"/>
    <w:rsid w:val="003B58FD"/>
    <w:rsid w:val="003B6B50"/>
    <w:rsid w:val="003B6DC0"/>
    <w:rsid w:val="003B7465"/>
    <w:rsid w:val="003C1962"/>
    <w:rsid w:val="003C385A"/>
    <w:rsid w:val="003C63EE"/>
    <w:rsid w:val="003C6487"/>
    <w:rsid w:val="003C7DAE"/>
    <w:rsid w:val="003D014B"/>
    <w:rsid w:val="003D0BD5"/>
    <w:rsid w:val="003D2422"/>
    <w:rsid w:val="003D31A0"/>
    <w:rsid w:val="003D4E26"/>
    <w:rsid w:val="003E0B3E"/>
    <w:rsid w:val="003E1AC7"/>
    <w:rsid w:val="003E4834"/>
    <w:rsid w:val="003E4E16"/>
    <w:rsid w:val="003E6B7C"/>
    <w:rsid w:val="003E6D31"/>
    <w:rsid w:val="003E6DB8"/>
    <w:rsid w:val="003F09F8"/>
    <w:rsid w:val="003F0ED2"/>
    <w:rsid w:val="003F1974"/>
    <w:rsid w:val="003F5091"/>
    <w:rsid w:val="003F5234"/>
    <w:rsid w:val="003F5FAF"/>
    <w:rsid w:val="003F615A"/>
    <w:rsid w:val="004018E5"/>
    <w:rsid w:val="00401AE3"/>
    <w:rsid w:val="004036B1"/>
    <w:rsid w:val="004059FB"/>
    <w:rsid w:val="00405C6F"/>
    <w:rsid w:val="00406D3C"/>
    <w:rsid w:val="00407F28"/>
    <w:rsid w:val="004106A9"/>
    <w:rsid w:val="00410C47"/>
    <w:rsid w:val="00411EE1"/>
    <w:rsid w:val="00412632"/>
    <w:rsid w:val="00417838"/>
    <w:rsid w:val="004249AD"/>
    <w:rsid w:val="004262C9"/>
    <w:rsid w:val="004266ED"/>
    <w:rsid w:val="00426730"/>
    <w:rsid w:val="0043085A"/>
    <w:rsid w:val="00430FD3"/>
    <w:rsid w:val="004310C3"/>
    <w:rsid w:val="00431ED8"/>
    <w:rsid w:val="00433E70"/>
    <w:rsid w:val="00434F52"/>
    <w:rsid w:val="004351E2"/>
    <w:rsid w:val="004409CA"/>
    <w:rsid w:val="0044560C"/>
    <w:rsid w:val="00445F45"/>
    <w:rsid w:val="00450836"/>
    <w:rsid w:val="0045272D"/>
    <w:rsid w:val="00453532"/>
    <w:rsid w:val="00454845"/>
    <w:rsid w:val="00455DE8"/>
    <w:rsid w:val="00455EDB"/>
    <w:rsid w:val="004568F1"/>
    <w:rsid w:val="00457A0D"/>
    <w:rsid w:val="004601D5"/>
    <w:rsid w:val="00461463"/>
    <w:rsid w:val="0046267A"/>
    <w:rsid w:val="00462B32"/>
    <w:rsid w:val="0046532E"/>
    <w:rsid w:val="004657D1"/>
    <w:rsid w:val="00466F5D"/>
    <w:rsid w:val="00472D4F"/>
    <w:rsid w:val="004735CC"/>
    <w:rsid w:val="0047406F"/>
    <w:rsid w:val="004749D0"/>
    <w:rsid w:val="00475E7E"/>
    <w:rsid w:val="004765E3"/>
    <w:rsid w:val="00481FDB"/>
    <w:rsid w:val="004838A6"/>
    <w:rsid w:val="00483DE6"/>
    <w:rsid w:val="004840B4"/>
    <w:rsid w:val="00487710"/>
    <w:rsid w:val="00490D7A"/>
    <w:rsid w:val="0049199B"/>
    <w:rsid w:val="00493EAD"/>
    <w:rsid w:val="00494C3D"/>
    <w:rsid w:val="0049536D"/>
    <w:rsid w:val="004965FC"/>
    <w:rsid w:val="00496959"/>
    <w:rsid w:val="004A0808"/>
    <w:rsid w:val="004A3786"/>
    <w:rsid w:val="004A41DD"/>
    <w:rsid w:val="004A631C"/>
    <w:rsid w:val="004A70F0"/>
    <w:rsid w:val="004B3C96"/>
    <w:rsid w:val="004B3F38"/>
    <w:rsid w:val="004B5883"/>
    <w:rsid w:val="004B5E92"/>
    <w:rsid w:val="004B6FFF"/>
    <w:rsid w:val="004C21B2"/>
    <w:rsid w:val="004C65C8"/>
    <w:rsid w:val="004C78A9"/>
    <w:rsid w:val="004D1CD9"/>
    <w:rsid w:val="004D1CF1"/>
    <w:rsid w:val="004D57A9"/>
    <w:rsid w:val="004D5D84"/>
    <w:rsid w:val="004D7C16"/>
    <w:rsid w:val="004E0A0E"/>
    <w:rsid w:val="004E1D3D"/>
    <w:rsid w:val="004E2890"/>
    <w:rsid w:val="004E28AF"/>
    <w:rsid w:val="004E4CC7"/>
    <w:rsid w:val="004F1394"/>
    <w:rsid w:val="004F39FA"/>
    <w:rsid w:val="004F6C65"/>
    <w:rsid w:val="004F6DFB"/>
    <w:rsid w:val="004F7746"/>
    <w:rsid w:val="00502FA6"/>
    <w:rsid w:val="00503112"/>
    <w:rsid w:val="00506C8F"/>
    <w:rsid w:val="00507A5F"/>
    <w:rsid w:val="00517400"/>
    <w:rsid w:val="00523B89"/>
    <w:rsid w:val="00525D9A"/>
    <w:rsid w:val="00527A38"/>
    <w:rsid w:val="005309A7"/>
    <w:rsid w:val="00531CD4"/>
    <w:rsid w:val="00534CC0"/>
    <w:rsid w:val="005351A4"/>
    <w:rsid w:val="0054170A"/>
    <w:rsid w:val="00544642"/>
    <w:rsid w:val="005455B0"/>
    <w:rsid w:val="005461B8"/>
    <w:rsid w:val="00546A5D"/>
    <w:rsid w:val="00546CA9"/>
    <w:rsid w:val="005473D3"/>
    <w:rsid w:val="00555C3D"/>
    <w:rsid w:val="00557360"/>
    <w:rsid w:val="00560E23"/>
    <w:rsid w:val="005623ED"/>
    <w:rsid w:val="00562972"/>
    <w:rsid w:val="00563EBA"/>
    <w:rsid w:val="00563F44"/>
    <w:rsid w:val="00564843"/>
    <w:rsid w:val="00564B96"/>
    <w:rsid w:val="00566C09"/>
    <w:rsid w:val="00566E2B"/>
    <w:rsid w:val="00567ABB"/>
    <w:rsid w:val="00572B1E"/>
    <w:rsid w:val="00573234"/>
    <w:rsid w:val="00574E4B"/>
    <w:rsid w:val="00575197"/>
    <w:rsid w:val="00576BC2"/>
    <w:rsid w:val="00580EA5"/>
    <w:rsid w:val="00581203"/>
    <w:rsid w:val="005813DC"/>
    <w:rsid w:val="00584747"/>
    <w:rsid w:val="00584FF8"/>
    <w:rsid w:val="00585495"/>
    <w:rsid w:val="00585CE5"/>
    <w:rsid w:val="0058625E"/>
    <w:rsid w:val="005875F7"/>
    <w:rsid w:val="005920B2"/>
    <w:rsid w:val="00593439"/>
    <w:rsid w:val="00593C0C"/>
    <w:rsid w:val="00594214"/>
    <w:rsid w:val="0059664D"/>
    <w:rsid w:val="005A08DB"/>
    <w:rsid w:val="005A287F"/>
    <w:rsid w:val="005A6005"/>
    <w:rsid w:val="005A63B5"/>
    <w:rsid w:val="005A76EC"/>
    <w:rsid w:val="005B3094"/>
    <w:rsid w:val="005B66E7"/>
    <w:rsid w:val="005C0A7D"/>
    <w:rsid w:val="005C2E01"/>
    <w:rsid w:val="005C42F3"/>
    <w:rsid w:val="005C55E2"/>
    <w:rsid w:val="005D19AC"/>
    <w:rsid w:val="005D47B2"/>
    <w:rsid w:val="005E107D"/>
    <w:rsid w:val="005E25F7"/>
    <w:rsid w:val="005F1AC0"/>
    <w:rsid w:val="005F2889"/>
    <w:rsid w:val="005F374B"/>
    <w:rsid w:val="005F481E"/>
    <w:rsid w:val="005F6691"/>
    <w:rsid w:val="0060473C"/>
    <w:rsid w:val="0060484D"/>
    <w:rsid w:val="00605005"/>
    <w:rsid w:val="00605350"/>
    <w:rsid w:val="00605E6A"/>
    <w:rsid w:val="00606520"/>
    <w:rsid w:val="006067CE"/>
    <w:rsid w:val="0060759F"/>
    <w:rsid w:val="006078EB"/>
    <w:rsid w:val="006079DB"/>
    <w:rsid w:val="00612E46"/>
    <w:rsid w:val="00615932"/>
    <w:rsid w:val="00617150"/>
    <w:rsid w:val="006174C9"/>
    <w:rsid w:val="006217A2"/>
    <w:rsid w:val="00622231"/>
    <w:rsid w:val="00624B79"/>
    <w:rsid w:val="00625233"/>
    <w:rsid w:val="00633A28"/>
    <w:rsid w:val="00642F6B"/>
    <w:rsid w:val="00645232"/>
    <w:rsid w:val="0064581A"/>
    <w:rsid w:val="00660E57"/>
    <w:rsid w:val="00662DA6"/>
    <w:rsid w:val="00664DC6"/>
    <w:rsid w:val="00670E5A"/>
    <w:rsid w:val="0067452E"/>
    <w:rsid w:val="00674AF0"/>
    <w:rsid w:val="00677F42"/>
    <w:rsid w:val="00685827"/>
    <w:rsid w:val="00685A01"/>
    <w:rsid w:val="00685ECB"/>
    <w:rsid w:val="00687ADC"/>
    <w:rsid w:val="00687C89"/>
    <w:rsid w:val="00690510"/>
    <w:rsid w:val="00693965"/>
    <w:rsid w:val="00695645"/>
    <w:rsid w:val="006A0776"/>
    <w:rsid w:val="006A290C"/>
    <w:rsid w:val="006A48A6"/>
    <w:rsid w:val="006A7A37"/>
    <w:rsid w:val="006B0523"/>
    <w:rsid w:val="006B20D3"/>
    <w:rsid w:val="006B293A"/>
    <w:rsid w:val="006B6D30"/>
    <w:rsid w:val="006B7444"/>
    <w:rsid w:val="006B7892"/>
    <w:rsid w:val="006C31C8"/>
    <w:rsid w:val="006C5CE4"/>
    <w:rsid w:val="006C7404"/>
    <w:rsid w:val="006D15D9"/>
    <w:rsid w:val="006D356B"/>
    <w:rsid w:val="006D55B7"/>
    <w:rsid w:val="006E08E3"/>
    <w:rsid w:val="006E635C"/>
    <w:rsid w:val="006E6B6A"/>
    <w:rsid w:val="006F0855"/>
    <w:rsid w:val="006F3A08"/>
    <w:rsid w:val="006F3B3D"/>
    <w:rsid w:val="006F42EA"/>
    <w:rsid w:val="006F4311"/>
    <w:rsid w:val="006F565B"/>
    <w:rsid w:val="006F5696"/>
    <w:rsid w:val="006F6B38"/>
    <w:rsid w:val="00700043"/>
    <w:rsid w:val="0070112A"/>
    <w:rsid w:val="00704ED4"/>
    <w:rsid w:val="0070709A"/>
    <w:rsid w:val="007103F8"/>
    <w:rsid w:val="0071138A"/>
    <w:rsid w:val="00716961"/>
    <w:rsid w:val="00717661"/>
    <w:rsid w:val="00726730"/>
    <w:rsid w:val="00727E0C"/>
    <w:rsid w:val="00730354"/>
    <w:rsid w:val="0073082C"/>
    <w:rsid w:val="00731B58"/>
    <w:rsid w:val="00733ED4"/>
    <w:rsid w:val="00734F22"/>
    <w:rsid w:val="007353C3"/>
    <w:rsid w:val="007363F4"/>
    <w:rsid w:val="007367D8"/>
    <w:rsid w:val="007441CF"/>
    <w:rsid w:val="00746DFB"/>
    <w:rsid w:val="00751A62"/>
    <w:rsid w:val="00753E86"/>
    <w:rsid w:val="007553B0"/>
    <w:rsid w:val="00756DFE"/>
    <w:rsid w:val="00756E02"/>
    <w:rsid w:val="00757CF1"/>
    <w:rsid w:val="007609E2"/>
    <w:rsid w:val="00763743"/>
    <w:rsid w:val="00763A36"/>
    <w:rsid w:val="00764CBA"/>
    <w:rsid w:val="00765AA9"/>
    <w:rsid w:val="0076600F"/>
    <w:rsid w:val="007670E6"/>
    <w:rsid w:val="00772483"/>
    <w:rsid w:val="007740DA"/>
    <w:rsid w:val="00777447"/>
    <w:rsid w:val="0077746F"/>
    <w:rsid w:val="00777D8D"/>
    <w:rsid w:val="00781307"/>
    <w:rsid w:val="00782621"/>
    <w:rsid w:val="00783F38"/>
    <w:rsid w:val="0078613B"/>
    <w:rsid w:val="00787095"/>
    <w:rsid w:val="00787490"/>
    <w:rsid w:val="00793050"/>
    <w:rsid w:val="00794F74"/>
    <w:rsid w:val="00795A13"/>
    <w:rsid w:val="007960AB"/>
    <w:rsid w:val="00796622"/>
    <w:rsid w:val="0079688A"/>
    <w:rsid w:val="00797EC4"/>
    <w:rsid w:val="007A676C"/>
    <w:rsid w:val="007A776F"/>
    <w:rsid w:val="007B2768"/>
    <w:rsid w:val="007B3F03"/>
    <w:rsid w:val="007B530A"/>
    <w:rsid w:val="007B55AB"/>
    <w:rsid w:val="007B634A"/>
    <w:rsid w:val="007C1AE5"/>
    <w:rsid w:val="007C360C"/>
    <w:rsid w:val="007C4387"/>
    <w:rsid w:val="007C49BE"/>
    <w:rsid w:val="007C6C2A"/>
    <w:rsid w:val="007C7D53"/>
    <w:rsid w:val="007D2A8D"/>
    <w:rsid w:val="007D33A5"/>
    <w:rsid w:val="007D348B"/>
    <w:rsid w:val="007D5EAE"/>
    <w:rsid w:val="007D6318"/>
    <w:rsid w:val="007D657D"/>
    <w:rsid w:val="007D7B10"/>
    <w:rsid w:val="007E0154"/>
    <w:rsid w:val="007E4136"/>
    <w:rsid w:val="007E5454"/>
    <w:rsid w:val="007E6341"/>
    <w:rsid w:val="007E6996"/>
    <w:rsid w:val="007E7891"/>
    <w:rsid w:val="007F254E"/>
    <w:rsid w:val="007F4189"/>
    <w:rsid w:val="007F4985"/>
    <w:rsid w:val="007F549E"/>
    <w:rsid w:val="007F629F"/>
    <w:rsid w:val="0080370D"/>
    <w:rsid w:val="00804681"/>
    <w:rsid w:val="00805146"/>
    <w:rsid w:val="00805CB8"/>
    <w:rsid w:val="00806487"/>
    <w:rsid w:val="008075D1"/>
    <w:rsid w:val="00807839"/>
    <w:rsid w:val="00810A4E"/>
    <w:rsid w:val="0081145E"/>
    <w:rsid w:val="00820435"/>
    <w:rsid w:val="00820D64"/>
    <w:rsid w:val="00822C0D"/>
    <w:rsid w:val="008271C8"/>
    <w:rsid w:val="008301DA"/>
    <w:rsid w:val="008303C8"/>
    <w:rsid w:val="00835BF2"/>
    <w:rsid w:val="00836335"/>
    <w:rsid w:val="00842785"/>
    <w:rsid w:val="00847692"/>
    <w:rsid w:val="00847793"/>
    <w:rsid w:val="008515A6"/>
    <w:rsid w:val="00857DD7"/>
    <w:rsid w:val="008631C5"/>
    <w:rsid w:val="008664C5"/>
    <w:rsid w:val="0086661D"/>
    <w:rsid w:val="00870C25"/>
    <w:rsid w:val="008710E3"/>
    <w:rsid w:val="0087689D"/>
    <w:rsid w:val="008832B4"/>
    <w:rsid w:val="00885552"/>
    <w:rsid w:val="00885774"/>
    <w:rsid w:val="00887631"/>
    <w:rsid w:val="00887957"/>
    <w:rsid w:val="00891503"/>
    <w:rsid w:val="0089235D"/>
    <w:rsid w:val="00892FB2"/>
    <w:rsid w:val="0089555A"/>
    <w:rsid w:val="008956E4"/>
    <w:rsid w:val="008978AF"/>
    <w:rsid w:val="008A2A44"/>
    <w:rsid w:val="008A2C8C"/>
    <w:rsid w:val="008A30B8"/>
    <w:rsid w:val="008A33EA"/>
    <w:rsid w:val="008A37D0"/>
    <w:rsid w:val="008A5B27"/>
    <w:rsid w:val="008A6B21"/>
    <w:rsid w:val="008B11D4"/>
    <w:rsid w:val="008B1800"/>
    <w:rsid w:val="008B20CD"/>
    <w:rsid w:val="008B210E"/>
    <w:rsid w:val="008B3719"/>
    <w:rsid w:val="008B533E"/>
    <w:rsid w:val="008B6032"/>
    <w:rsid w:val="008B6B66"/>
    <w:rsid w:val="008B7542"/>
    <w:rsid w:val="008C10FD"/>
    <w:rsid w:val="008C1F92"/>
    <w:rsid w:val="008C1FAF"/>
    <w:rsid w:val="008C21B8"/>
    <w:rsid w:val="008C3AEF"/>
    <w:rsid w:val="008D2A50"/>
    <w:rsid w:val="008D3667"/>
    <w:rsid w:val="008D436B"/>
    <w:rsid w:val="008E0D10"/>
    <w:rsid w:val="008E12BB"/>
    <w:rsid w:val="008E22A4"/>
    <w:rsid w:val="008E38C5"/>
    <w:rsid w:val="008E5680"/>
    <w:rsid w:val="008F6F37"/>
    <w:rsid w:val="0090040C"/>
    <w:rsid w:val="00900789"/>
    <w:rsid w:val="009035FD"/>
    <w:rsid w:val="009043D2"/>
    <w:rsid w:val="00905AF1"/>
    <w:rsid w:val="00905E54"/>
    <w:rsid w:val="0091225D"/>
    <w:rsid w:val="009125EE"/>
    <w:rsid w:val="0091358F"/>
    <w:rsid w:val="00914224"/>
    <w:rsid w:val="009144AA"/>
    <w:rsid w:val="009149FC"/>
    <w:rsid w:val="00914BA3"/>
    <w:rsid w:val="00916D12"/>
    <w:rsid w:val="009205C0"/>
    <w:rsid w:val="00925137"/>
    <w:rsid w:val="009255A9"/>
    <w:rsid w:val="009312EB"/>
    <w:rsid w:val="00931E3D"/>
    <w:rsid w:val="009320C4"/>
    <w:rsid w:val="00932865"/>
    <w:rsid w:val="009332DB"/>
    <w:rsid w:val="009360F5"/>
    <w:rsid w:val="009376AF"/>
    <w:rsid w:val="00940CAC"/>
    <w:rsid w:val="009437A0"/>
    <w:rsid w:val="00943EF0"/>
    <w:rsid w:val="009453C9"/>
    <w:rsid w:val="00950509"/>
    <w:rsid w:val="00951EE4"/>
    <w:rsid w:val="00953F0C"/>
    <w:rsid w:val="00954F1C"/>
    <w:rsid w:val="00955495"/>
    <w:rsid w:val="00960C76"/>
    <w:rsid w:val="00961D92"/>
    <w:rsid w:val="009622CA"/>
    <w:rsid w:val="00966094"/>
    <w:rsid w:val="00967823"/>
    <w:rsid w:val="00970262"/>
    <w:rsid w:val="009712C4"/>
    <w:rsid w:val="00971FB4"/>
    <w:rsid w:val="009733E1"/>
    <w:rsid w:val="00973541"/>
    <w:rsid w:val="009736BC"/>
    <w:rsid w:val="0097497B"/>
    <w:rsid w:val="00974B52"/>
    <w:rsid w:val="009816DC"/>
    <w:rsid w:val="009858F0"/>
    <w:rsid w:val="00985EB3"/>
    <w:rsid w:val="009969A3"/>
    <w:rsid w:val="00996D7E"/>
    <w:rsid w:val="009A0C68"/>
    <w:rsid w:val="009A56EC"/>
    <w:rsid w:val="009A615D"/>
    <w:rsid w:val="009A671D"/>
    <w:rsid w:val="009A78D3"/>
    <w:rsid w:val="009B3102"/>
    <w:rsid w:val="009B61FB"/>
    <w:rsid w:val="009C1931"/>
    <w:rsid w:val="009C2240"/>
    <w:rsid w:val="009C4055"/>
    <w:rsid w:val="009C51D4"/>
    <w:rsid w:val="009C6657"/>
    <w:rsid w:val="009C7E00"/>
    <w:rsid w:val="009C7E57"/>
    <w:rsid w:val="009C7F86"/>
    <w:rsid w:val="009D0A39"/>
    <w:rsid w:val="009D3C04"/>
    <w:rsid w:val="009D6099"/>
    <w:rsid w:val="009D637D"/>
    <w:rsid w:val="009D74E2"/>
    <w:rsid w:val="009E1EE8"/>
    <w:rsid w:val="009E2376"/>
    <w:rsid w:val="009E5011"/>
    <w:rsid w:val="009F12E3"/>
    <w:rsid w:val="009F237F"/>
    <w:rsid w:val="009F3800"/>
    <w:rsid w:val="009F467F"/>
    <w:rsid w:val="009F54F7"/>
    <w:rsid w:val="009F5CE6"/>
    <w:rsid w:val="009F5F90"/>
    <w:rsid w:val="00A01A74"/>
    <w:rsid w:val="00A060A9"/>
    <w:rsid w:val="00A06DC9"/>
    <w:rsid w:val="00A0717D"/>
    <w:rsid w:val="00A113BC"/>
    <w:rsid w:val="00A13C82"/>
    <w:rsid w:val="00A146B5"/>
    <w:rsid w:val="00A149F2"/>
    <w:rsid w:val="00A1594C"/>
    <w:rsid w:val="00A15A45"/>
    <w:rsid w:val="00A15CC0"/>
    <w:rsid w:val="00A2199A"/>
    <w:rsid w:val="00A219B3"/>
    <w:rsid w:val="00A21E1B"/>
    <w:rsid w:val="00A226FB"/>
    <w:rsid w:val="00A23003"/>
    <w:rsid w:val="00A231CE"/>
    <w:rsid w:val="00A277A4"/>
    <w:rsid w:val="00A279BD"/>
    <w:rsid w:val="00A27A50"/>
    <w:rsid w:val="00A30DAC"/>
    <w:rsid w:val="00A32079"/>
    <w:rsid w:val="00A3216D"/>
    <w:rsid w:val="00A34797"/>
    <w:rsid w:val="00A37848"/>
    <w:rsid w:val="00A41C6F"/>
    <w:rsid w:val="00A42DB7"/>
    <w:rsid w:val="00A452E8"/>
    <w:rsid w:val="00A465C0"/>
    <w:rsid w:val="00A46D79"/>
    <w:rsid w:val="00A546AE"/>
    <w:rsid w:val="00A54E25"/>
    <w:rsid w:val="00A56F72"/>
    <w:rsid w:val="00A60AFE"/>
    <w:rsid w:val="00A6356D"/>
    <w:rsid w:val="00A63B82"/>
    <w:rsid w:val="00A64825"/>
    <w:rsid w:val="00A671C9"/>
    <w:rsid w:val="00A67956"/>
    <w:rsid w:val="00A70DAD"/>
    <w:rsid w:val="00A7254B"/>
    <w:rsid w:val="00A73502"/>
    <w:rsid w:val="00A7420E"/>
    <w:rsid w:val="00A76EBE"/>
    <w:rsid w:val="00A77E88"/>
    <w:rsid w:val="00A84CA2"/>
    <w:rsid w:val="00A8533F"/>
    <w:rsid w:val="00A8559C"/>
    <w:rsid w:val="00A85AD8"/>
    <w:rsid w:val="00A86C4F"/>
    <w:rsid w:val="00A90412"/>
    <w:rsid w:val="00A915B3"/>
    <w:rsid w:val="00A92CB4"/>
    <w:rsid w:val="00A92F6C"/>
    <w:rsid w:val="00A94313"/>
    <w:rsid w:val="00AA2E63"/>
    <w:rsid w:val="00AB06CF"/>
    <w:rsid w:val="00AB2EE8"/>
    <w:rsid w:val="00AB607C"/>
    <w:rsid w:val="00AC063D"/>
    <w:rsid w:val="00AC2A5A"/>
    <w:rsid w:val="00AC3533"/>
    <w:rsid w:val="00AC41E5"/>
    <w:rsid w:val="00AC5262"/>
    <w:rsid w:val="00AC535B"/>
    <w:rsid w:val="00AC61B7"/>
    <w:rsid w:val="00AD0765"/>
    <w:rsid w:val="00AD1846"/>
    <w:rsid w:val="00AD19F8"/>
    <w:rsid w:val="00AD49FE"/>
    <w:rsid w:val="00AD66B2"/>
    <w:rsid w:val="00AE0AC7"/>
    <w:rsid w:val="00AE1B67"/>
    <w:rsid w:val="00AE2509"/>
    <w:rsid w:val="00AE3E48"/>
    <w:rsid w:val="00AE6A7B"/>
    <w:rsid w:val="00AF380D"/>
    <w:rsid w:val="00AF4156"/>
    <w:rsid w:val="00AF6E6D"/>
    <w:rsid w:val="00B00D2B"/>
    <w:rsid w:val="00B041F8"/>
    <w:rsid w:val="00B04652"/>
    <w:rsid w:val="00B04711"/>
    <w:rsid w:val="00B0496A"/>
    <w:rsid w:val="00B04CBC"/>
    <w:rsid w:val="00B04F94"/>
    <w:rsid w:val="00B055F6"/>
    <w:rsid w:val="00B10143"/>
    <w:rsid w:val="00B13E79"/>
    <w:rsid w:val="00B149C0"/>
    <w:rsid w:val="00B1693F"/>
    <w:rsid w:val="00B16E0D"/>
    <w:rsid w:val="00B2150D"/>
    <w:rsid w:val="00B21F6A"/>
    <w:rsid w:val="00B22455"/>
    <w:rsid w:val="00B22F73"/>
    <w:rsid w:val="00B248FC"/>
    <w:rsid w:val="00B302F7"/>
    <w:rsid w:val="00B3479F"/>
    <w:rsid w:val="00B363AE"/>
    <w:rsid w:val="00B40152"/>
    <w:rsid w:val="00B40F39"/>
    <w:rsid w:val="00B43B0B"/>
    <w:rsid w:val="00B44883"/>
    <w:rsid w:val="00B465A7"/>
    <w:rsid w:val="00B472B0"/>
    <w:rsid w:val="00B5010C"/>
    <w:rsid w:val="00B50D6E"/>
    <w:rsid w:val="00B51FCD"/>
    <w:rsid w:val="00B54881"/>
    <w:rsid w:val="00B60688"/>
    <w:rsid w:val="00B6354F"/>
    <w:rsid w:val="00B6597C"/>
    <w:rsid w:val="00B65DB2"/>
    <w:rsid w:val="00B72D29"/>
    <w:rsid w:val="00B737B0"/>
    <w:rsid w:val="00B73D74"/>
    <w:rsid w:val="00B752DA"/>
    <w:rsid w:val="00B75561"/>
    <w:rsid w:val="00B75AA3"/>
    <w:rsid w:val="00B76118"/>
    <w:rsid w:val="00B801FF"/>
    <w:rsid w:val="00B813B5"/>
    <w:rsid w:val="00B84572"/>
    <w:rsid w:val="00B876B4"/>
    <w:rsid w:val="00B907AD"/>
    <w:rsid w:val="00B90C3C"/>
    <w:rsid w:val="00B93213"/>
    <w:rsid w:val="00B933AD"/>
    <w:rsid w:val="00BA52C8"/>
    <w:rsid w:val="00BA5907"/>
    <w:rsid w:val="00BA5D71"/>
    <w:rsid w:val="00BB0AEC"/>
    <w:rsid w:val="00BB349B"/>
    <w:rsid w:val="00BB49F9"/>
    <w:rsid w:val="00BB5925"/>
    <w:rsid w:val="00BB6C0D"/>
    <w:rsid w:val="00BC00B2"/>
    <w:rsid w:val="00BC4F14"/>
    <w:rsid w:val="00BC6FD9"/>
    <w:rsid w:val="00BD3B64"/>
    <w:rsid w:val="00BD535A"/>
    <w:rsid w:val="00BD6245"/>
    <w:rsid w:val="00BD6498"/>
    <w:rsid w:val="00BE29E1"/>
    <w:rsid w:val="00BE73AC"/>
    <w:rsid w:val="00BF00F0"/>
    <w:rsid w:val="00BF2F45"/>
    <w:rsid w:val="00BF56A4"/>
    <w:rsid w:val="00BF728C"/>
    <w:rsid w:val="00C01155"/>
    <w:rsid w:val="00C03442"/>
    <w:rsid w:val="00C04008"/>
    <w:rsid w:val="00C05317"/>
    <w:rsid w:val="00C0609D"/>
    <w:rsid w:val="00C11C3E"/>
    <w:rsid w:val="00C1360C"/>
    <w:rsid w:val="00C16279"/>
    <w:rsid w:val="00C16DD7"/>
    <w:rsid w:val="00C21F5F"/>
    <w:rsid w:val="00C2222F"/>
    <w:rsid w:val="00C23252"/>
    <w:rsid w:val="00C238EA"/>
    <w:rsid w:val="00C25489"/>
    <w:rsid w:val="00C26790"/>
    <w:rsid w:val="00C26EFE"/>
    <w:rsid w:val="00C31B47"/>
    <w:rsid w:val="00C33016"/>
    <w:rsid w:val="00C33B77"/>
    <w:rsid w:val="00C3437B"/>
    <w:rsid w:val="00C350A6"/>
    <w:rsid w:val="00C35719"/>
    <w:rsid w:val="00C36512"/>
    <w:rsid w:val="00C45E8C"/>
    <w:rsid w:val="00C47551"/>
    <w:rsid w:val="00C50C62"/>
    <w:rsid w:val="00C549D9"/>
    <w:rsid w:val="00C55979"/>
    <w:rsid w:val="00C60C26"/>
    <w:rsid w:val="00C62839"/>
    <w:rsid w:val="00C71B6A"/>
    <w:rsid w:val="00C74F9B"/>
    <w:rsid w:val="00C75728"/>
    <w:rsid w:val="00C76D75"/>
    <w:rsid w:val="00C77358"/>
    <w:rsid w:val="00C80D13"/>
    <w:rsid w:val="00C828E7"/>
    <w:rsid w:val="00C84A8D"/>
    <w:rsid w:val="00C85F57"/>
    <w:rsid w:val="00C91394"/>
    <w:rsid w:val="00C91799"/>
    <w:rsid w:val="00C92C4E"/>
    <w:rsid w:val="00C94856"/>
    <w:rsid w:val="00C948E4"/>
    <w:rsid w:val="00C959B5"/>
    <w:rsid w:val="00CA10A2"/>
    <w:rsid w:val="00CA5813"/>
    <w:rsid w:val="00CA6D94"/>
    <w:rsid w:val="00CA7B71"/>
    <w:rsid w:val="00CB033D"/>
    <w:rsid w:val="00CB2EF6"/>
    <w:rsid w:val="00CB33E4"/>
    <w:rsid w:val="00CB35C4"/>
    <w:rsid w:val="00CB3BE7"/>
    <w:rsid w:val="00CB5289"/>
    <w:rsid w:val="00CC1E04"/>
    <w:rsid w:val="00CC41D0"/>
    <w:rsid w:val="00CC6A5C"/>
    <w:rsid w:val="00CC6D68"/>
    <w:rsid w:val="00CC6ED2"/>
    <w:rsid w:val="00CC70BE"/>
    <w:rsid w:val="00CC737A"/>
    <w:rsid w:val="00CD0899"/>
    <w:rsid w:val="00CD0B11"/>
    <w:rsid w:val="00CD18A3"/>
    <w:rsid w:val="00CD2A56"/>
    <w:rsid w:val="00CD41E0"/>
    <w:rsid w:val="00CD6664"/>
    <w:rsid w:val="00CE1172"/>
    <w:rsid w:val="00CE56A5"/>
    <w:rsid w:val="00CE5859"/>
    <w:rsid w:val="00CE5F74"/>
    <w:rsid w:val="00CE67F4"/>
    <w:rsid w:val="00CF0280"/>
    <w:rsid w:val="00CF4881"/>
    <w:rsid w:val="00CF4E58"/>
    <w:rsid w:val="00CF6FFC"/>
    <w:rsid w:val="00CF7CFC"/>
    <w:rsid w:val="00D01DDE"/>
    <w:rsid w:val="00D044BA"/>
    <w:rsid w:val="00D05BE7"/>
    <w:rsid w:val="00D0625D"/>
    <w:rsid w:val="00D07FAB"/>
    <w:rsid w:val="00D13C28"/>
    <w:rsid w:val="00D2071B"/>
    <w:rsid w:val="00D20EB8"/>
    <w:rsid w:val="00D233CC"/>
    <w:rsid w:val="00D259BC"/>
    <w:rsid w:val="00D30351"/>
    <w:rsid w:val="00D3524C"/>
    <w:rsid w:val="00D37678"/>
    <w:rsid w:val="00D435A1"/>
    <w:rsid w:val="00D4416C"/>
    <w:rsid w:val="00D44AB2"/>
    <w:rsid w:val="00D5235A"/>
    <w:rsid w:val="00D53DFA"/>
    <w:rsid w:val="00D54A89"/>
    <w:rsid w:val="00D5502B"/>
    <w:rsid w:val="00D552A3"/>
    <w:rsid w:val="00D577CB"/>
    <w:rsid w:val="00D57D40"/>
    <w:rsid w:val="00D60764"/>
    <w:rsid w:val="00D614BB"/>
    <w:rsid w:val="00D62D2C"/>
    <w:rsid w:val="00D630EE"/>
    <w:rsid w:val="00D66022"/>
    <w:rsid w:val="00D726DE"/>
    <w:rsid w:val="00D75211"/>
    <w:rsid w:val="00D754DD"/>
    <w:rsid w:val="00D75AAC"/>
    <w:rsid w:val="00D76EAE"/>
    <w:rsid w:val="00D7787B"/>
    <w:rsid w:val="00D77CAF"/>
    <w:rsid w:val="00D809B5"/>
    <w:rsid w:val="00D81620"/>
    <w:rsid w:val="00D83AEE"/>
    <w:rsid w:val="00D85853"/>
    <w:rsid w:val="00D86381"/>
    <w:rsid w:val="00D908A7"/>
    <w:rsid w:val="00D909EC"/>
    <w:rsid w:val="00D9111B"/>
    <w:rsid w:val="00D928D3"/>
    <w:rsid w:val="00D9375C"/>
    <w:rsid w:val="00D9523A"/>
    <w:rsid w:val="00D970BE"/>
    <w:rsid w:val="00D971C2"/>
    <w:rsid w:val="00DA032C"/>
    <w:rsid w:val="00DA225D"/>
    <w:rsid w:val="00DA33D2"/>
    <w:rsid w:val="00DA5905"/>
    <w:rsid w:val="00DB1B1F"/>
    <w:rsid w:val="00DC0D6D"/>
    <w:rsid w:val="00DC0EA4"/>
    <w:rsid w:val="00DC15DC"/>
    <w:rsid w:val="00DC3191"/>
    <w:rsid w:val="00DC59D1"/>
    <w:rsid w:val="00DC716D"/>
    <w:rsid w:val="00DD4A92"/>
    <w:rsid w:val="00DD4FD9"/>
    <w:rsid w:val="00DD7BB0"/>
    <w:rsid w:val="00DE18F8"/>
    <w:rsid w:val="00DE1D51"/>
    <w:rsid w:val="00DE65DD"/>
    <w:rsid w:val="00DF124C"/>
    <w:rsid w:val="00DF1445"/>
    <w:rsid w:val="00DF1E47"/>
    <w:rsid w:val="00DF31AC"/>
    <w:rsid w:val="00DF35C2"/>
    <w:rsid w:val="00DF6EC5"/>
    <w:rsid w:val="00DF7498"/>
    <w:rsid w:val="00E0132C"/>
    <w:rsid w:val="00E02796"/>
    <w:rsid w:val="00E02B94"/>
    <w:rsid w:val="00E02BB5"/>
    <w:rsid w:val="00E03548"/>
    <w:rsid w:val="00E04368"/>
    <w:rsid w:val="00E05DCD"/>
    <w:rsid w:val="00E101DC"/>
    <w:rsid w:val="00E10A3D"/>
    <w:rsid w:val="00E11510"/>
    <w:rsid w:val="00E1521E"/>
    <w:rsid w:val="00E1537D"/>
    <w:rsid w:val="00E201E9"/>
    <w:rsid w:val="00E2508D"/>
    <w:rsid w:val="00E30998"/>
    <w:rsid w:val="00E31AF0"/>
    <w:rsid w:val="00E31D3C"/>
    <w:rsid w:val="00E31F3C"/>
    <w:rsid w:val="00E3249B"/>
    <w:rsid w:val="00E328DB"/>
    <w:rsid w:val="00E33442"/>
    <w:rsid w:val="00E34BFB"/>
    <w:rsid w:val="00E373B5"/>
    <w:rsid w:val="00E377A5"/>
    <w:rsid w:val="00E419A5"/>
    <w:rsid w:val="00E43E0A"/>
    <w:rsid w:val="00E441AD"/>
    <w:rsid w:val="00E452A8"/>
    <w:rsid w:val="00E508DF"/>
    <w:rsid w:val="00E5229A"/>
    <w:rsid w:val="00E52F7B"/>
    <w:rsid w:val="00E6140A"/>
    <w:rsid w:val="00E624DC"/>
    <w:rsid w:val="00E62B1E"/>
    <w:rsid w:val="00E654E8"/>
    <w:rsid w:val="00E67B55"/>
    <w:rsid w:val="00E721B5"/>
    <w:rsid w:val="00E751C9"/>
    <w:rsid w:val="00E75A84"/>
    <w:rsid w:val="00E7624C"/>
    <w:rsid w:val="00E764EE"/>
    <w:rsid w:val="00E776F0"/>
    <w:rsid w:val="00E80C7D"/>
    <w:rsid w:val="00E81326"/>
    <w:rsid w:val="00E84265"/>
    <w:rsid w:val="00E920F8"/>
    <w:rsid w:val="00E95DA2"/>
    <w:rsid w:val="00E96C69"/>
    <w:rsid w:val="00E9720E"/>
    <w:rsid w:val="00EA7155"/>
    <w:rsid w:val="00EB1441"/>
    <w:rsid w:val="00EB40BE"/>
    <w:rsid w:val="00EB415E"/>
    <w:rsid w:val="00EB71CA"/>
    <w:rsid w:val="00EB7CA5"/>
    <w:rsid w:val="00EC0389"/>
    <w:rsid w:val="00EC3227"/>
    <w:rsid w:val="00EC4A63"/>
    <w:rsid w:val="00ED01AF"/>
    <w:rsid w:val="00ED1DE4"/>
    <w:rsid w:val="00ED26F0"/>
    <w:rsid w:val="00ED58BD"/>
    <w:rsid w:val="00ED5FA5"/>
    <w:rsid w:val="00ED6BAB"/>
    <w:rsid w:val="00EE300D"/>
    <w:rsid w:val="00EE4F57"/>
    <w:rsid w:val="00EE5B44"/>
    <w:rsid w:val="00EE6A96"/>
    <w:rsid w:val="00EE7018"/>
    <w:rsid w:val="00EE7756"/>
    <w:rsid w:val="00EF0C07"/>
    <w:rsid w:val="00EF127B"/>
    <w:rsid w:val="00EF1586"/>
    <w:rsid w:val="00EF1851"/>
    <w:rsid w:val="00EF1F21"/>
    <w:rsid w:val="00EF2095"/>
    <w:rsid w:val="00EF33E6"/>
    <w:rsid w:val="00EF4E17"/>
    <w:rsid w:val="00EF6D5F"/>
    <w:rsid w:val="00F024DC"/>
    <w:rsid w:val="00F04F77"/>
    <w:rsid w:val="00F079EE"/>
    <w:rsid w:val="00F11898"/>
    <w:rsid w:val="00F14080"/>
    <w:rsid w:val="00F249B8"/>
    <w:rsid w:val="00F261FE"/>
    <w:rsid w:val="00F267AC"/>
    <w:rsid w:val="00F338F6"/>
    <w:rsid w:val="00F34BA5"/>
    <w:rsid w:val="00F36DAC"/>
    <w:rsid w:val="00F408AB"/>
    <w:rsid w:val="00F43935"/>
    <w:rsid w:val="00F43E57"/>
    <w:rsid w:val="00F4526E"/>
    <w:rsid w:val="00F45CFC"/>
    <w:rsid w:val="00F472CE"/>
    <w:rsid w:val="00F50D12"/>
    <w:rsid w:val="00F520F3"/>
    <w:rsid w:val="00F53766"/>
    <w:rsid w:val="00F54287"/>
    <w:rsid w:val="00F5454A"/>
    <w:rsid w:val="00F54706"/>
    <w:rsid w:val="00F558E1"/>
    <w:rsid w:val="00F5651E"/>
    <w:rsid w:val="00F600CD"/>
    <w:rsid w:val="00F61A5A"/>
    <w:rsid w:val="00F6623F"/>
    <w:rsid w:val="00F67EFE"/>
    <w:rsid w:val="00F71E4E"/>
    <w:rsid w:val="00F739B5"/>
    <w:rsid w:val="00F751F3"/>
    <w:rsid w:val="00F7570D"/>
    <w:rsid w:val="00F77409"/>
    <w:rsid w:val="00F77D43"/>
    <w:rsid w:val="00F803C5"/>
    <w:rsid w:val="00F80ACC"/>
    <w:rsid w:val="00F81B52"/>
    <w:rsid w:val="00F81D4D"/>
    <w:rsid w:val="00F81FD4"/>
    <w:rsid w:val="00F824B8"/>
    <w:rsid w:val="00F83712"/>
    <w:rsid w:val="00F84DF5"/>
    <w:rsid w:val="00F87CE6"/>
    <w:rsid w:val="00F87EC8"/>
    <w:rsid w:val="00F90B19"/>
    <w:rsid w:val="00F9177B"/>
    <w:rsid w:val="00F93C22"/>
    <w:rsid w:val="00F9645A"/>
    <w:rsid w:val="00F97583"/>
    <w:rsid w:val="00FA0F5D"/>
    <w:rsid w:val="00FA446A"/>
    <w:rsid w:val="00FA4B93"/>
    <w:rsid w:val="00FA608C"/>
    <w:rsid w:val="00FA7979"/>
    <w:rsid w:val="00FA7B19"/>
    <w:rsid w:val="00FB1493"/>
    <w:rsid w:val="00FB1CF5"/>
    <w:rsid w:val="00FB1FB2"/>
    <w:rsid w:val="00FB27C5"/>
    <w:rsid w:val="00FB2E63"/>
    <w:rsid w:val="00FB517C"/>
    <w:rsid w:val="00FB5689"/>
    <w:rsid w:val="00FB6E42"/>
    <w:rsid w:val="00FB71D3"/>
    <w:rsid w:val="00FB7ADF"/>
    <w:rsid w:val="00FC0740"/>
    <w:rsid w:val="00FC11DF"/>
    <w:rsid w:val="00FC14AD"/>
    <w:rsid w:val="00FC5C9C"/>
    <w:rsid w:val="00FC5FBB"/>
    <w:rsid w:val="00FC615F"/>
    <w:rsid w:val="00FC6B79"/>
    <w:rsid w:val="00FD1898"/>
    <w:rsid w:val="00FD52E1"/>
    <w:rsid w:val="00FD539D"/>
    <w:rsid w:val="00FD62E4"/>
    <w:rsid w:val="00FD6635"/>
    <w:rsid w:val="00FE1B0A"/>
    <w:rsid w:val="00FE2763"/>
    <w:rsid w:val="00FE5645"/>
    <w:rsid w:val="00FE5D26"/>
    <w:rsid w:val="00FF09E9"/>
    <w:rsid w:val="00FF1150"/>
    <w:rsid w:val="00FF6562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7F31798"/>
  <w15:chartTrackingRefBased/>
  <w15:docId w15:val="{AB37D782-D04B-4F77-B4E8-32FEC122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Hyperlink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77B"/>
    <w:pPr>
      <w:spacing w:after="24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564843"/>
    <w:pPr>
      <w:keepNext/>
      <w:spacing w:after="120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2F682F"/>
    <w:pPr>
      <w:keepNext/>
      <w:widowControl w:val="0"/>
      <w:tabs>
        <w:tab w:val="left" w:pos="567"/>
        <w:tab w:val="left" w:pos="1134"/>
        <w:tab w:val="left" w:pos="1701"/>
      </w:tabs>
      <w:spacing w:after="20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85827"/>
    <w:pPr>
      <w:keepNext/>
      <w:widowControl w:val="0"/>
      <w:tabs>
        <w:tab w:val="left" w:pos="567"/>
        <w:tab w:val="left" w:pos="1134"/>
        <w:tab w:val="left" w:pos="1701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567"/>
        <w:tab w:val="left" w:pos="1134"/>
        <w:tab w:val="left" w:pos="1701"/>
      </w:tabs>
      <w:spacing w:line="360" w:lineRule="atLeast"/>
      <w:jc w:val="center"/>
      <w:outlineLvl w:val="3"/>
    </w:pPr>
    <w:rPr>
      <w:i/>
    </w:rPr>
  </w:style>
  <w:style w:type="paragraph" w:styleId="Heading5">
    <w:name w:val="heading 5"/>
    <w:basedOn w:val="Normal"/>
    <w:next w:val="Normal"/>
    <w:pPr>
      <w:keepNext/>
      <w:tabs>
        <w:tab w:val="left" w:pos="2235"/>
        <w:tab w:val="left" w:pos="4260"/>
      </w:tabs>
      <w:spacing w:line="360" w:lineRule="auto"/>
      <w:jc w:val="right"/>
      <w:outlineLvl w:val="4"/>
    </w:pPr>
  </w:style>
  <w:style w:type="paragraph" w:styleId="Heading6">
    <w:name w:val="heading 6"/>
    <w:basedOn w:val="Normal"/>
    <w:next w:val="Normal"/>
    <w:pPr>
      <w:keepNext/>
      <w:outlineLvl w:val="5"/>
    </w:pPr>
    <w:rPr>
      <w:b/>
      <w:i/>
    </w:rPr>
  </w:style>
  <w:style w:type="paragraph" w:styleId="Heading7">
    <w:name w:val="heading 7"/>
    <w:basedOn w:val="Normal"/>
    <w:next w:val="Normal"/>
    <w:pPr>
      <w:keepNext/>
      <w:outlineLvl w:val="6"/>
    </w:pPr>
    <w:rPr>
      <w:b/>
      <w:sz w:val="32"/>
    </w:rPr>
  </w:style>
  <w:style w:type="paragraph" w:styleId="Heading8">
    <w:name w:val="heading 8"/>
    <w:basedOn w:val="Normal"/>
    <w:next w:val="Normal"/>
    <w:pPr>
      <w:keepNext/>
      <w:jc w:val="center"/>
      <w:outlineLvl w:val="7"/>
    </w:pPr>
    <w:rPr>
      <w:b/>
      <w:sz w:val="36"/>
    </w:rPr>
  </w:style>
  <w:style w:type="paragraph" w:styleId="Heading9">
    <w:name w:val="heading 9"/>
    <w:basedOn w:val="Normal"/>
    <w:next w:val="Normal"/>
    <w:pPr>
      <w:keepNext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odyText">
    <w:name w:val="Body Text"/>
    <w:basedOn w:val="Normal"/>
  </w:style>
  <w:style w:type="paragraph" w:styleId="BodyText2">
    <w:name w:val="Body Text 2"/>
    <w:basedOn w:val="Normal"/>
    <w:pPr>
      <w:widowControl w:val="0"/>
      <w:tabs>
        <w:tab w:val="left" w:pos="720"/>
      </w:tabs>
      <w:ind w:left="720" w:hanging="720"/>
      <w:jc w:val="both"/>
    </w:pPr>
  </w:style>
  <w:style w:type="paragraph" w:styleId="BodyTextIndent2">
    <w:name w:val="Body Text Indent 2"/>
    <w:basedOn w:val="Normal"/>
    <w:pPr>
      <w:widowControl w:val="0"/>
      <w:ind w:left="709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3">
    <w:name w:val="Body Text 3"/>
    <w:basedOn w:val="Normal"/>
    <w:pPr>
      <w:tabs>
        <w:tab w:val="left" w:pos="2235"/>
        <w:tab w:val="left" w:pos="4260"/>
      </w:tabs>
      <w:spacing w:line="360" w:lineRule="auto"/>
      <w:jc w:val="right"/>
    </w:pPr>
  </w:style>
  <w:style w:type="paragraph" w:styleId="BodyTextIndent">
    <w:name w:val="Body Text Indent"/>
    <w:basedOn w:val="Normal"/>
    <w:pPr>
      <w:widowControl w:val="0"/>
      <w:tabs>
        <w:tab w:val="left" w:pos="1134"/>
        <w:tab w:val="left" w:pos="1701"/>
      </w:tabs>
      <w:spacing w:before="240"/>
      <w:ind w:left="426"/>
    </w:pPr>
  </w:style>
  <w:style w:type="paragraph" w:styleId="BodyTextIndent3">
    <w:name w:val="Body Text Indent 3"/>
    <w:basedOn w:val="Normal"/>
    <w:pPr>
      <w:widowControl w:val="0"/>
      <w:tabs>
        <w:tab w:val="left" w:pos="567"/>
        <w:tab w:val="left" w:pos="1134"/>
        <w:tab w:val="left" w:pos="1701"/>
      </w:tabs>
      <w:spacing w:before="240"/>
      <w:ind w:left="567" w:hanging="567"/>
    </w:p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MS Sans Serif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1A0653"/>
    <w:rPr>
      <w:b/>
      <w:bCs/>
    </w:rPr>
  </w:style>
  <w:style w:type="paragraph" w:styleId="ListNumber2">
    <w:name w:val="List Number 2"/>
    <w:basedOn w:val="Normal"/>
    <w:pPr>
      <w:numPr>
        <w:numId w:val="23"/>
      </w:numPr>
    </w:pPr>
  </w:style>
  <w:style w:type="paragraph" w:customStyle="1" w:styleId="Style1">
    <w:name w:val="Style1"/>
    <w:basedOn w:val="FootnoteText"/>
    <w:rsid w:val="00433E70"/>
  </w:style>
  <w:style w:type="table" w:styleId="TableGrid">
    <w:name w:val="Table Grid"/>
    <w:basedOn w:val="TableNormal"/>
    <w:rsid w:val="009D3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22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B472B0"/>
    <w:pPr>
      <w:spacing w:line="480" w:lineRule="auto"/>
    </w:pPr>
    <w:rPr>
      <w:b/>
    </w:rPr>
  </w:style>
  <w:style w:type="paragraph" w:styleId="TOC2">
    <w:name w:val="toc 2"/>
    <w:basedOn w:val="Normal"/>
    <w:next w:val="Normal"/>
    <w:autoRedefine/>
    <w:uiPriority w:val="39"/>
    <w:rsid w:val="00B472B0"/>
    <w:pPr>
      <w:spacing w:line="480" w:lineRule="auto"/>
      <w:ind w:left="198"/>
    </w:pPr>
  </w:style>
  <w:style w:type="paragraph" w:styleId="ListParagraph">
    <w:name w:val="List Paragraph"/>
    <w:basedOn w:val="Normal"/>
    <w:link w:val="ListParagraphChar"/>
    <w:uiPriority w:val="34"/>
    <w:qFormat/>
    <w:rsid w:val="00B60688"/>
    <w:pPr>
      <w:numPr>
        <w:numId w:val="34"/>
      </w:numPr>
    </w:pPr>
  </w:style>
  <w:style w:type="paragraph" w:styleId="Revision">
    <w:name w:val="Revision"/>
    <w:hidden/>
    <w:uiPriority w:val="99"/>
    <w:semiHidden/>
    <w:rsid w:val="00E34BFB"/>
  </w:style>
  <w:style w:type="paragraph" w:styleId="Title">
    <w:name w:val="Title"/>
    <w:basedOn w:val="Normal"/>
    <w:next w:val="Normal"/>
    <w:link w:val="TitleChar"/>
    <w:qFormat/>
    <w:rsid w:val="00394A5B"/>
    <w:pPr>
      <w:spacing w:before="1440"/>
      <w:contextualSpacing/>
    </w:pPr>
    <w:rPr>
      <w:rFonts w:eastAsiaTheme="majorEastAsia" w:cs="Arial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394A5B"/>
    <w:rPr>
      <w:rFonts w:ascii="Arial" w:eastAsiaTheme="majorEastAsia" w:hAnsi="Arial" w:cs="Arial"/>
      <w:spacing w:val="-10"/>
      <w:kern w:val="28"/>
      <w:sz w:val="72"/>
      <w:szCs w:val="72"/>
    </w:rPr>
  </w:style>
  <w:style w:type="character" w:styleId="Emphasis">
    <w:name w:val="Emphasis"/>
    <w:basedOn w:val="DefaultParagraphFont"/>
    <w:rsid w:val="00E721B5"/>
    <w:rPr>
      <w:i/>
      <w:iCs/>
    </w:rPr>
  </w:style>
  <w:style w:type="paragraph" w:styleId="Subtitle">
    <w:name w:val="Subtitle"/>
    <w:basedOn w:val="Normal"/>
    <w:next w:val="Normal"/>
    <w:link w:val="SubtitleChar"/>
    <w:rsid w:val="00E721B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E721B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Title0">
    <w:name w:val="Title0"/>
    <w:basedOn w:val="Title"/>
    <w:link w:val="Title0Char"/>
    <w:qFormat/>
    <w:rsid w:val="00394A5B"/>
    <w:rPr>
      <w:b/>
    </w:rPr>
  </w:style>
  <w:style w:type="character" w:customStyle="1" w:styleId="Title0Char">
    <w:name w:val="Title0 Char"/>
    <w:basedOn w:val="TitleChar"/>
    <w:link w:val="Title0"/>
    <w:rsid w:val="00394A5B"/>
    <w:rPr>
      <w:rFonts w:ascii="Arial" w:eastAsiaTheme="majorEastAsia" w:hAnsi="Arial" w:cs="Arial"/>
      <w:b/>
      <w:spacing w:val="-10"/>
      <w:kern w:val="28"/>
      <w:sz w:val="72"/>
      <w:szCs w:val="72"/>
    </w:rPr>
  </w:style>
  <w:style w:type="paragraph" w:customStyle="1" w:styleId="NumberingCh1">
    <w:name w:val="NumberingCh1"/>
    <w:basedOn w:val="ListParagraph"/>
    <w:link w:val="NumberingCh1Char"/>
    <w:qFormat/>
    <w:rsid w:val="00F9177B"/>
    <w:pPr>
      <w:ind w:left="567" w:hanging="567"/>
    </w:pPr>
  </w:style>
  <w:style w:type="paragraph" w:customStyle="1" w:styleId="NumberingCh2">
    <w:name w:val="NumberingCh2"/>
    <w:basedOn w:val="NumberingCh1"/>
    <w:link w:val="NumberingCh2Char"/>
    <w:qFormat/>
    <w:rsid w:val="00F9177B"/>
    <w:pPr>
      <w:numPr>
        <w:numId w:val="38"/>
      </w:numPr>
      <w:ind w:left="567" w:hanging="567"/>
    </w:pPr>
    <w:rPr>
      <w:rFonts w:cs="Aria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0688"/>
    <w:rPr>
      <w:rFonts w:ascii="Arial" w:hAnsi="Arial"/>
      <w:sz w:val="24"/>
    </w:rPr>
  </w:style>
  <w:style w:type="character" w:customStyle="1" w:styleId="NumberingCh1Char">
    <w:name w:val="NumberingCh1 Char"/>
    <w:basedOn w:val="ListParagraphChar"/>
    <w:link w:val="NumberingCh1"/>
    <w:rsid w:val="00F9177B"/>
    <w:rPr>
      <w:rFonts w:ascii="Arial" w:hAnsi="Arial"/>
      <w:sz w:val="24"/>
    </w:rPr>
  </w:style>
  <w:style w:type="paragraph" w:customStyle="1" w:styleId="NumberingCh3">
    <w:name w:val="NumberingCh3"/>
    <w:basedOn w:val="Normal"/>
    <w:link w:val="NumberingCh3Char"/>
    <w:qFormat/>
    <w:rsid w:val="00BD6245"/>
    <w:pPr>
      <w:widowControl w:val="0"/>
      <w:numPr>
        <w:numId w:val="39"/>
      </w:numPr>
      <w:ind w:left="567" w:hanging="567"/>
    </w:pPr>
    <w:rPr>
      <w:rFonts w:cs="Arial"/>
    </w:rPr>
  </w:style>
  <w:style w:type="character" w:customStyle="1" w:styleId="NumberingCh2Char">
    <w:name w:val="NumberingCh2 Char"/>
    <w:basedOn w:val="NumberingCh1Char"/>
    <w:link w:val="NumberingCh2"/>
    <w:rsid w:val="00F9177B"/>
    <w:rPr>
      <w:rFonts w:ascii="Arial" w:hAnsi="Arial" w:cs="Arial"/>
      <w:sz w:val="24"/>
    </w:rPr>
  </w:style>
  <w:style w:type="paragraph" w:customStyle="1" w:styleId="TableHeadings">
    <w:name w:val="TableHeadings"/>
    <w:basedOn w:val="Normal"/>
    <w:link w:val="TableHeadingsChar"/>
    <w:qFormat/>
    <w:rsid w:val="00E419A5"/>
    <w:pPr>
      <w:spacing w:after="40"/>
    </w:pPr>
    <w:rPr>
      <w:b/>
    </w:rPr>
  </w:style>
  <w:style w:type="character" w:customStyle="1" w:styleId="NumberingCh3Char">
    <w:name w:val="NumberingCh3 Char"/>
    <w:basedOn w:val="DefaultParagraphFont"/>
    <w:link w:val="NumberingCh3"/>
    <w:rsid w:val="00BD6245"/>
    <w:rPr>
      <w:rFonts w:ascii="Arial" w:hAnsi="Arial" w:cs="Arial"/>
      <w:sz w:val="24"/>
    </w:rPr>
  </w:style>
  <w:style w:type="paragraph" w:styleId="NoSpacing">
    <w:name w:val="No Spacing"/>
    <w:link w:val="NoSpacingChar"/>
    <w:uiPriority w:val="1"/>
    <w:qFormat/>
    <w:rsid w:val="00BD6245"/>
    <w:pPr>
      <w:contextualSpacing/>
    </w:pPr>
    <w:rPr>
      <w:rFonts w:ascii="Arial" w:hAnsi="Arial"/>
      <w:sz w:val="24"/>
    </w:rPr>
  </w:style>
  <w:style w:type="character" w:customStyle="1" w:styleId="TableHeadingsChar">
    <w:name w:val="TableHeadings Char"/>
    <w:basedOn w:val="DefaultParagraphFont"/>
    <w:link w:val="TableHeadings"/>
    <w:rsid w:val="00E419A5"/>
    <w:rPr>
      <w:rFonts w:ascii="Arial" w:hAnsi="Arial"/>
      <w:b/>
      <w:sz w:val="24"/>
    </w:rPr>
  </w:style>
  <w:style w:type="paragraph" w:customStyle="1" w:styleId="TableText">
    <w:name w:val="TableText"/>
    <w:basedOn w:val="NoSpacing"/>
    <w:link w:val="TableTextChar"/>
    <w:qFormat/>
    <w:rsid w:val="00E419A5"/>
    <w:pPr>
      <w:tabs>
        <w:tab w:val="decimal" w:pos="1985"/>
      </w:tabs>
      <w:spacing w:after="40"/>
      <w:contextualSpacing w:val="0"/>
    </w:pPr>
    <w:rPr>
      <w:rFonts w:cs="Arial"/>
      <w:szCs w:val="24"/>
    </w:rPr>
  </w:style>
  <w:style w:type="paragraph" w:customStyle="1" w:styleId="TableRowText">
    <w:name w:val="TableRowText"/>
    <w:basedOn w:val="TableText"/>
    <w:link w:val="TableRowTextChar"/>
    <w:qFormat/>
    <w:rsid w:val="00E419A5"/>
    <w:pPr>
      <w:tabs>
        <w:tab w:val="clear" w:pos="1985"/>
      </w:tabs>
    </w:pPr>
  </w:style>
  <w:style w:type="character" w:customStyle="1" w:styleId="NoSpacingChar">
    <w:name w:val="No Spacing Char"/>
    <w:basedOn w:val="DefaultParagraphFont"/>
    <w:link w:val="NoSpacing"/>
    <w:uiPriority w:val="1"/>
    <w:rsid w:val="00BD6245"/>
    <w:rPr>
      <w:rFonts w:ascii="Arial" w:hAnsi="Arial"/>
      <w:sz w:val="24"/>
    </w:rPr>
  </w:style>
  <w:style w:type="character" w:customStyle="1" w:styleId="TableTextChar">
    <w:name w:val="TableText Char"/>
    <w:basedOn w:val="NoSpacingChar"/>
    <w:link w:val="TableText"/>
    <w:rsid w:val="00E419A5"/>
    <w:rPr>
      <w:rFonts w:ascii="Arial" w:hAnsi="Arial" w:cs="Arial"/>
      <w:sz w:val="24"/>
      <w:szCs w:val="24"/>
    </w:rPr>
  </w:style>
  <w:style w:type="paragraph" w:customStyle="1" w:styleId="Indent">
    <w:name w:val="Indent"/>
    <w:basedOn w:val="Normal"/>
    <w:link w:val="IndentChar"/>
    <w:qFormat/>
    <w:rsid w:val="00885774"/>
    <w:pPr>
      <w:widowControl w:val="0"/>
      <w:ind w:left="567"/>
    </w:pPr>
    <w:rPr>
      <w:rFonts w:cs="Arial"/>
    </w:rPr>
  </w:style>
  <w:style w:type="character" w:customStyle="1" w:styleId="TableRowTextChar">
    <w:name w:val="TableRowText Char"/>
    <w:basedOn w:val="TableTextChar"/>
    <w:link w:val="TableRowText"/>
    <w:rsid w:val="00E419A5"/>
    <w:rPr>
      <w:rFonts w:ascii="Arial" w:hAnsi="Arial" w:cs="Arial"/>
      <w:sz w:val="24"/>
      <w:szCs w:val="24"/>
    </w:rPr>
  </w:style>
  <w:style w:type="paragraph" w:customStyle="1" w:styleId="Numbering5">
    <w:name w:val="Numbering5"/>
    <w:basedOn w:val="Normal"/>
    <w:link w:val="Numbering5Char"/>
    <w:qFormat/>
    <w:rsid w:val="00885774"/>
    <w:pPr>
      <w:widowControl w:val="0"/>
      <w:numPr>
        <w:numId w:val="41"/>
      </w:numPr>
      <w:ind w:left="567" w:hanging="567"/>
    </w:pPr>
    <w:rPr>
      <w:rFonts w:cs="Arial"/>
    </w:rPr>
  </w:style>
  <w:style w:type="character" w:customStyle="1" w:styleId="IndentChar">
    <w:name w:val="Indent Char"/>
    <w:basedOn w:val="DefaultParagraphFont"/>
    <w:link w:val="Indent"/>
    <w:rsid w:val="00885774"/>
    <w:rPr>
      <w:rFonts w:ascii="Arial" w:hAnsi="Arial" w:cs="Arial"/>
      <w:sz w:val="24"/>
    </w:rPr>
  </w:style>
  <w:style w:type="paragraph" w:customStyle="1" w:styleId="TableNotes">
    <w:name w:val="TableNotes"/>
    <w:basedOn w:val="Normal"/>
    <w:link w:val="TableNotesChar"/>
    <w:qFormat/>
    <w:rsid w:val="00257F83"/>
    <w:pPr>
      <w:widowControl w:val="0"/>
      <w:spacing w:before="240" w:line="240" w:lineRule="atLeast"/>
    </w:pPr>
    <w:rPr>
      <w:rFonts w:cs="Arial"/>
      <w:i/>
    </w:rPr>
  </w:style>
  <w:style w:type="character" w:customStyle="1" w:styleId="Numbering5Char">
    <w:name w:val="Numbering5 Char"/>
    <w:basedOn w:val="DefaultParagraphFont"/>
    <w:link w:val="Numbering5"/>
    <w:rsid w:val="00885774"/>
    <w:rPr>
      <w:rFonts w:ascii="Arial" w:hAnsi="Arial" w:cs="Arial"/>
      <w:sz w:val="24"/>
    </w:rPr>
  </w:style>
  <w:style w:type="character" w:customStyle="1" w:styleId="TableNotesChar">
    <w:name w:val="TableNotes Char"/>
    <w:basedOn w:val="DefaultParagraphFont"/>
    <w:link w:val="TableNotes"/>
    <w:rsid w:val="00257F83"/>
    <w:rPr>
      <w:rFonts w:ascii="Arial" w:hAnsi="Arial" w:cs="Arial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A38658800</value>
    </field>
    <field name="Objective-Title">
      <value order="0">LGFPS - Final Local Government Settlement 2022-23 - Local Government Finance (Councils) Report - English</value>
    </field>
    <field name="Objective-Description">
      <value order="0"/>
    </field>
    <field name="Objective-CreationStamp">
      <value order="0">2022-02-18T15:47:07Z</value>
    </field>
    <field name="Objective-IsApproved">
      <value order="0">false</value>
    </field>
    <field name="Objective-IsPublished">
      <value order="0">true</value>
    </field>
    <field name="Objective-DatePublished">
      <value order="0">2022-03-01T14:43:17Z</value>
    </field>
    <field name="Objective-ModificationStamp">
      <value order="0">2022-03-01T14:46:25Z</value>
    </field>
    <field name="Objective-Owner">
      <value order="0">Caddick, Ashley (EPS - LG - FPS)</value>
    </field>
    <field name="Objective-Path">
      <value order="0">Objective Global Folder:Business File Plan:Education &amp; Public Services (EPS):Education &amp; Public Services (EPS) - Local Government - Finance Policy:1 - Save:Unitary Authority Settlement:Administration:2022-2023:Local Authorities - 2022-2023 - Unitary Authorities Settlement - Reports &amp; Outputs</value>
    </field>
    <field name="Objective-Parent">
      <value order="0">Local Authorities - 2022-2023 - Unitary Authorities Settlement - Reports &amp; Outputs</value>
    </field>
    <field name="Objective-State">
      <value order="0">Published</value>
    </field>
    <field name="Objective-VersionId">
      <value order="0">vA75419375</value>
    </field>
    <field name="Objective-Version">
      <value order="0">11.0</value>
    </field>
    <field name="Objective-VersionNumber">
      <value order="0">12</value>
    </field>
    <field name="Objective-VersionComment">
      <value order="0"/>
    </field>
    <field name="Objective-FileNumber">
      <value order="0">qA1473730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5F2668BD12043972266CC600EA70D" ma:contentTypeVersion="9" ma:contentTypeDescription="Create a new document." ma:contentTypeScope="" ma:versionID="6cea25c280ab7985df9012e4369483ac">
  <xsd:schema xmlns:xsd="http://www.w3.org/2001/XMLSchema" xmlns:xs="http://www.w3.org/2001/XMLSchema" xmlns:p="http://schemas.microsoft.com/office/2006/metadata/properties" xmlns:ns3="bea8e2f1-ddf1-43bb-8dd9-6e781c1fd173" targetNamespace="http://schemas.microsoft.com/office/2006/metadata/properties" ma:root="true" ma:fieldsID="364dd777d5a6cc8bdf9b0b7cd3543151" ns3:_="">
    <xsd:import namespace="bea8e2f1-ddf1-43bb-8dd9-6e781c1fd1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8e2f1-ddf1-43bb-8dd9-6e781c1fd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3CD90-F7E7-4E36-AE0E-DECA600049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10A57A12-5D59-4E2B-A036-D1133E949F0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ea8e2f1-ddf1-43bb-8dd9-6e781c1fd173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A367A1F-4813-4BBC-9308-E0F81E206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8e2f1-ddf1-43bb-8dd9-6e781c1fd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FDE038B-79DE-4A5E-AAC8-8AD20B230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6820</Words>
  <Characters>37386</Characters>
  <Application>Microsoft Office Word</Application>
  <DocSecurity>4</DocSecurity>
  <Lines>311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LGF Report 2022-23</vt:lpstr>
    </vt:vector>
  </TitlesOfParts>
  <Company>Welsh Office</Company>
  <LinksUpToDate>false</LinksUpToDate>
  <CharactersWithSpaces>44118</CharactersWithSpaces>
  <SharedDoc>false</SharedDoc>
  <HLinks>
    <vt:vector size="72" baseType="variant">
      <vt:variant>
        <vt:i4>1376310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_Toc27155606</vt:lpwstr>
      </vt:variant>
      <vt:variant>
        <vt:i4>1441846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_Toc27155605</vt:lpwstr>
      </vt:variant>
      <vt:variant>
        <vt:i4>1507382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_Toc27155604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_Toc27155603</vt:lpwstr>
      </vt:variant>
      <vt:variant>
        <vt:i4>1114166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_Toc27155602</vt:lpwstr>
      </vt:variant>
      <vt:variant>
        <vt:i4>1179702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_Toc27155601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_Toc27155600</vt:lpwstr>
      </vt:variant>
      <vt:variant>
        <vt:i4>1638463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_Toc27155599</vt:lpwstr>
      </vt:variant>
      <vt:variant>
        <vt:i4>1572927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_Toc27155598</vt:lpwstr>
      </vt:variant>
      <vt:variant>
        <vt:i4>1507391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_Toc27155597</vt:lpwstr>
      </vt:variant>
      <vt:variant>
        <vt:i4>1441855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_Toc27155596</vt:lpwstr>
      </vt:variant>
      <vt:variant>
        <vt:i4>1376319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_Toc27155595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LGF Report 2022-23</dc:title>
  <dc:subject/>
  <dc:creator>Jaqueline Brown</dc:creator>
  <cp:keywords/>
  <cp:lastModifiedBy>Fulker, Louise (EPS - LG - CHR Communications)</cp:lastModifiedBy>
  <cp:revision>2</cp:revision>
  <cp:lastPrinted>2022-03-01T09:05:00Z</cp:lastPrinted>
  <dcterms:created xsi:type="dcterms:W3CDTF">2022-03-01T15:35:00Z</dcterms:created>
  <dcterms:modified xsi:type="dcterms:W3CDTF">2022-03-01T15:35:00Z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A38658800</vt:lpwstr>
  </property>
  <property fmtid="{D5CDD505-2E9C-101B-9397-08002B2CF9AE}" pid="3" name="Objective-Comment">
    <vt:lpwstr/>
  </property>
  <property fmtid="{D5CDD505-2E9C-101B-9397-08002B2CF9AE}" pid="4" name="Objective-CreationStamp">
    <vt:filetime>2022-02-18T15:47:16Z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2022-03-01T14:43:17Z</vt:filetime>
  </property>
  <property fmtid="{D5CDD505-2E9C-101B-9397-08002B2CF9AE}" pid="8" name="Objective-ModificationStamp">
    <vt:filetime>2022-03-01T14:46:25Z</vt:filetime>
  </property>
  <property fmtid="{D5CDD505-2E9C-101B-9397-08002B2CF9AE}" pid="9" name="Objective-Owner">
    <vt:lpwstr>Caddick, Ashley (EPS - LG - FPS)</vt:lpwstr>
  </property>
  <property fmtid="{D5CDD505-2E9C-101B-9397-08002B2CF9AE}" pid="10" name="Objective-Path">
    <vt:lpwstr>Objective Global Folder:Business File Plan:Education &amp; Public Services (EPS):Education &amp; Public Services (EPS) - Local Government - Finance Policy:1 - Save:Unitary Authority Settlement:Administration:2022-2023:Local Authorities - 2022-2023 - Unitary Autho</vt:lpwstr>
  </property>
  <property fmtid="{D5CDD505-2E9C-101B-9397-08002B2CF9AE}" pid="11" name="Objective-Parent">
    <vt:lpwstr>Local Authorities - 2022-2023 - Unitary Authorities Settlement - Reports &amp; Outputs</vt:lpwstr>
  </property>
  <property fmtid="{D5CDD505-2E9C-101B-9397-08002B2CF9AE}" pid="12" name="Objective-State">
    <vt:lpwstr>Published</vt:lpwstr>
  </property>
  <property fmtid="{D5CDD505-2E9C-101B-9397-08002B2CF9AE}" pid="13" name="Objective-Title">
    <vt:lpwstr>LGFPS - Final Local Government Settlement 2022-23 - Local Government Finance (Councils) Report - English</vt:lpwstr>
  </property>
  <property fmtid="{D5CDD505-2E9C-101B-9397-08002B2CF9AE}" pid="14" name="Objective-Version">
    <vt:lpwstr>11.0</vt:lpwstr>
  </property>
  <property fmtid="{D5CDD505-2E9C-101B-9397-08002B2CF9AE}" pid="15" name="Objective-VersionComment">
    <vt:lpwstr/>
  </property>
  <property fmtid="{D5CDD505-2E9C-101B-9397-08002B2CF9AE}" pid="16" name="Objective-VersionNumber">
    <vt:r8>12</vt:r8>
  </property>
  <property fmtid="{D5CDD505-2E9C-101B-9397-08002B2CF9AE}" pid="17" name="Objective-FileNumber">
    <vt:lpwstr/>
  </property>
  <property fmtid="{D5CDD505-2E9C-101B-9397-08002B2CF9AE}" pid="18" name="Objective-Classification">
    <vt:lpwstr>[Inherited - Official]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filetime>2014-09-11T23:00:00Z</vt:filetime>
  </property>
  <property fmtid="{D5CDD505-2E9C-101B-9397-08002B2CF9AE}" pid="22" name="Objective-Historical Interest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What to Keep [system]">
    <vt:lpwstr>No</vt:lpwstr>
  </property>
  <property fmtid="{D5CDD505-2E9C-101B-9397-08002B2CF9AE}" pid="25" name="Objective-Connect Creator [system]">
    <vt:lpwstr/>
  </property>
  <property fmtid="{D5CDD505-2E9C-101B-9397-08002B2CF9AE}" pid="26" name="Objective-Language">
    <vt:lpwstr/>
  </property>
  <property fmtid="{D5CDD505-2E9C-101B-9397-08002B2CF9AE}" pid="27" name="Objective-Date Acquired">
    <vt:lpwstr/>
  </property>
  <property fmtid="{D5CDD505-2E9C-101B-9397-08002B2CF9AE}" pid="28" name="Objective-What to Keep">
    <vt:lpwstr/>
  </property>
  <property fmtid="{D5CDD505-2E9C-101B-9397-08002B2CF9AE}" pid="29" name="Objective-Official Translation">
    <vt:lpwstr/>
  </property>
  <property fmtid="{D5CDD505-2E9C-101B-9397-08002B2CF9AE}" pid="30" name="Objective-Connect Creator">
    <vt:lpwstr/>
  </property>
  <property fmtid="{D5CDD505-2E9C-101B-9397-08002B2CF9AE}" pid="31" name="ContentTypeId">
    <vt:lpwstr>0x0101009635F2668BD12043972266CC600EA70D</vt:lpwstr>
  </property>
  <property fmtid="{D5CDD505-2E9C-101B-9397-08002B2CF9AE}" pid="32" name="Objective-Description">
    <vt:lpwstr/>
  </property>
  <property fmtid="{D5CDD505-2E9C-101B-9397-08002B2CF9AE}" pid="33" name="Objective-VersionId">
    <vt:lpwstr>vA75419375</vt:lpwstr>
  </property>
  <property fmtid="{D5CDD505-2E9C-101B-9397-08002B2CF9AE}" pid="34" name="SI template version">
    <vt:lpwstr>Version 9.1</vt:lpwstr>
  </property>
  <property fmtid="{D5CDD505-2E9C-101B-9397-08002B2CF9AE}" pid="35" name="LastOSversion">
    <vt:lpwstr>16.0</vt:lpwstr>
  </property>
</Properties>
</file>