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A2FB" w14:textId="7B7661B9" w:rsidR="005F7E23" w:rsidRPr="000C7EEA" w:rsidRDefault="007B6F19">
      <w:pPr>
        <w:rPr>
          <w:rFonts w:ascii="Arial" w:hAnsi="Arial" w:cs="Arial"/>
          <w:b/>
          <w:sz w:val="24"/>
          <w:szCs w:val="24"/>
          <w:u w:val="single"/>
        </w:rPr>
      </w:pPr>
      <w:r>
        <w:rPr>
          <w:rFonts w:ascii="Arial" w:hAnsi="Arial" w:cs="Arial"/>
          <w:b/>
          <w:sz w:val="24"/>
          <w:szCs w:val="24"/>
          <w:u w:val="single"/>
        </w:rPr>
        <w:t>Sustainable Communities for Learning</w:t>
      </w:r>
      <w:r w:rsidR="005F7E23" w:rsidRPr="000C7EEA">
        <w:rPr>
          <w:rFonts w:ascii="Arial" w:hAnsi="Arial" w:cs="Arial"/>
          <w:b/>
          <w:sz w:val="24"/>
          <w:szCs w:val="24"/>
          <w:u w:val="single"/>
        </w:rPr>
        <w:t xml:space="preserve"> Programme</w:t>
      </w:r>
    </w:p>
    <w:p w14:paraId="2FF4D2F3" w14:textId="41F1AE10" w:rsidR="005F7E23" w:rsidRPr="00FC0DCF" w:rsidRDefault="002B0E8A">
      <w:pPr>
        <w:rPr>
          <w:rFonts w:ascii="Arial" w:hAnsi="Arial" w:cs="Arial"/>
          <w:b/>
          <w:sz w:val="24"/>
          <w:szCs w:val="24"/>
          <w:u w:val="single"/>
        </w:rPr>
      </w:pPr>
      <w:r>
        <w:rPr>
          <w:rFonts w:ascii="Arial" w:hAnsi="Arial" w:cs="Arial"/>
          <w:b/>
          <w:sz w:val="24"/>
          <w:szCs w:val="24"/>
          <w:u w:val="single"/>
        </w:rPr>
        <w:t xml:space="preserve">Working </w:t>
      </w:r>
      <w:proofErr w:type="gramStart"/>
      <w:r>
        <w:rPr>
          <w:rFonts w:ascii="Arial" w:hAnsi="Arial" w:cs="Arial"/>
          <w:b/>
          <w:sz w:val="24"/>
          <w:szCs w:val="24"/>
          <w:u w:val="single"/>
        </w:rPr>
        <w:t>Towards</w:t>
      </w:r>
      <w:proofErr w:type="gramEnd"/>
      <w:r>
        <w:rPr>
          <w:rFonts w:ascii="Arial" w:hAnsi="Arial" w:cs="Arial"/>
          <w:b/>
          <w:sz w:val="24"/>
          <w:szCs w:val="24"/>
          <w:u w:val="single"/>
        </w:rPr>
        <w:t xml:space="preserve"> Whole Life </w:t>
      </w:r>
      <w:r w:rsidR="005F7E23" w:rsidRPr="000C7EEA">
        <w:rPr>
          <w:rFonts w:ascii="Arial" w:hAnsi="Arial" w:cs="Arial"/>
          <w:b/>
          <w:sz w:val="24"/>
          <w:szCs w:val="24"/>
          <w:u w:val="single"/>
        </w:rPr>
        <w:t xml:space="preserve">Net Zero Carbon </w:t>
      </w:r>
    </w:p>
    <w:p w14:paraId="5E4D8293" w14:textId="77777777" w:rsidR="005F7E23" w:rsidRPr="000C7EEA" w:rsidRDefault="005F7E23">
      <w:pPr>
        <w:rPr>
          <w:rFonts w:ascii="Arial" w:hAnsi="Arial" w:cs="Arial"/>
          <w:b/>
          <w:sz w:val="24"/>
          <w:szCs w:val="24"/>
        </w:rPr>
      </w:pPr>
      <w:r w:rsidRPr="000C7EEA">
        <w:rPr>
          <w:rFonts w:ascii="Arial" w:hAnsi="Arial" w:cs="Arial"/>
          <w:b/>
          <w:sz w:val="24"/>
          <w:szCs w:val="24"/>
        </w:rPr>
        <w:t>Background</w:t>
      </w:r>
    </w:p>
    <w:p w14:paraId="5E973A7C" w14:textId="0CEF5033" w:rsidR="005F7E23" w:rsidRDefault="00AD7EC8">
      <w:pPr>
        <w:rPr>
          <w:rFonts w:ascii="Arial" w:hAnsi="Arial" w:cs="Arial"/>
          <w:sz w:val="24"/>
          <w:szCs w:val="24"/>
        </w:rPr>
      </w:pPr>
      <w:r>
        <w:rPr>
          <w:rFonts w:ascii="Arial" w:hAnsi="Arial" w:cs="Arial"/>
          <w:sz w:val="24"/>
          <w:szCs w:val="24"/>
        </w:rPr>
        <w:t xml:space="preserve">The </w:t>
      </w:r>
      <w:r w:rsidR="005F7E23">
        <w:rPr>
          <w:rFonts w:ascii="Arial" w:hAnsi="Arial" w:cs="Arial"/>
          <w:sz w:val="24"/>
          <w:szCs w:val="24"/>
        </w:rPr>
        <w:t>Welsh Government are committed to a carbon neutral public sector by 2030</w:t>
      </w:r>
      <w:r w:rsidR="003B1FA6">
        <w:rPr>
          <w:rFonts w:ascii="Arial" w:hAnsi="Arial" w:cs="Arial"/>
          <w:sz w:val="24"/>
          <w:szCs w:val="24"/>
        </w:rPr>
        <w:t xml:space="preserve"> and a </w:t>
      </w:r>
      <w:r w:rsidR="00E01AC7">
        <w:rPr>
          <w:rFonts w:ascii="Arial" w:hAnsi="Arial" w:cs="Arial"/>
          <w:sz w:val="24"/>
          <w:szCs w:val="24"/>
        </w:rPr>
        <w:t>10</w:t>
      </w:r>
      <w:r w:rsidR="003B1FA6">
        <w:rPr>
          <w:rFonts w:ascii="Arial" w:hAnsi="Arial" w:cs="Arial"/>
          <w:sz w:val="24"/>
          <w:szCs w:val="24"/>
        </w:rPr>
        <w:t>0% reduction in emission of greenhouse gases in Wales by 2050</w:t>
      </w:r>
      <w:r w:rsidR="005F7E23">
        <w:rPr>
          <w:rFonts w:ascii="Arial" w:hAnsi="Arial" w:cs="Arial"/>
          <w:sz w:val="24"/>
          <w:szCs w:val="24"/>
        </w:rPr>
        <w:t xml:space="preserve">.  </w:t>
      </w:r>
    </w:p>
    <w:p w14:paraId="140CF819" w14:textId="5CF53DC4" w:rsidR="00AD7EC8" w:rsidRDefault="00AD7EC8" w:rsidP="00FC0DCF">
      <w:pPr>
        <w:rPr>
          <w:rFonts w:ascii="Arial" w:hAnsi="Arial" w:cs="Arial"/>
          <w:sz w:val="24"/>
          <w:szCs w:val="24"/>
        </w:rPr>
      </w:pPr>
      <w:r>
        <w:rPr>
          <w:rFonts w:ascii="Arial" w:hAnsi="Arial" w:cs="Arial"/>
          <w:sz w:val="24"/>
          <w:szCs w:val="24"/>
        </w:rPr>
        <w:t xml:space="preserve">The Minister for Education and Welsh Language announced on 2 November 2021 </w:t>
      </w:r>
      <w:r w:rsidRPr="00E82E15">
        <w:rPr>
          <w:rFonts w:ascii="Arial" w:hAnsi="Arial" w:cs="Arial"/>
          <w:sz w:val="24"/>
          <w:szCs w:val="24"/>
        </w:rPr>
        <w:t xml:space="preserve">that from </w:t>
      </w:r>
      <w:r w:rsidRPr="004B30F2">
        <w:rPr>
          <w:rFonts w:ascii="Arial" w:hAnsi="Arial" w:cs="Arial"/>
          <w:sz w:val="24"/>
          <w:szCs w:val="24"/>
        </w:rPr>
        <w:t xml:space="preserve">1 January 2022 </w:t>
      </w:r>
      <w:r w:rsidRPr="00E82E15">
        <w:rPr>
          <w:rFonts w:ascii="Arial" w:hAnsi="Arial" w:cs="Arial"/>
          <w:sz w:val="24"/>
          <w:szCs w:val="24"/>
        </w:rPr>
        <w:t>all new–build, major refurbishment and extension projects requesting funding support through the Programme will be required to demonstrate delivery of Net Zero Carbon</w:t>
      </w:r>
      <w:r>
        <w:rPr>
          <w:rFonts w:ascii="Arial" w:hAnsi="Arial" w:cs="Arial"/>
          <w:sz w:val="24"/>
          <w:szCs w:val="24"/>
        </w:rPr>
        <w:t xml:space="preserve"> in op</w:t>
      </w:r>
      <w:r w:rsidRPr="00E82E15">
        <w:rPr>
          <w:rFonts w:ascii="Arial" w:hAnsi="Arial" w:cs="Arial"/>
          <w:sz w:val="24"/>
          <w:szCs w:val="24"/>
        </w:rPr>
        <w:t>eration</w:t>
      </w:r>
      <w:r>
        <w:rPr>
          <w:rFonts w:ascii="Arial" w:hAnsi="Arial" w:cs="Arial"/>
          <w:sz w:val="24"/>
          <w:szCs w:val="24"/>
        </w:rPr>
        <w:t xml:space="preserve"> plus a 20% reduction on the amount of embodied carbon – that is the carbon emitted through construction materials and the construction process</w:t>
      </w:r>
      <w:r w:rsidRPr="00E82E15">
        <w:rPr>
          <w:rFonts w:ascii="Arial" w:hAnsi="Arial" w:cs="Arial"/>
          <w:sz w:val="24"/>
          <w:szCs w:val="24"/>
        </w:rPr>
        <w:t xml:space="preserve">.  </w:t>
      </w:r>
      <w:r>
        <w:rPr>
          <w:rFonts w:ascii="Arial" w:hAnsi="Arial" w:cs="Arial"/>
          <w:sz w:val="24"/>
          <w:szCs w:val="24"/>
        </w:rPr>
        <w:t>T</w:t>
      </w:r>
      <w:r w:rsidRPr="00E82E15">
        <w:rPr>
          <w:rFonts w:ascii="Arial" w:hAnsi="Arial" w:cs="Arial"/>
          <w:sz w:val="24"/>
          <w:szCs w:val="24"/>
        </w:rPr>
        <w:t xml:space="preserve">his requirement will apply to all business case proposals that have not received approval at Outline Business Case (OBC) stage by </w:t>
      </w:r>
      <w:r w:rsidRPr="004B30F2">
        <w:rPr>
          <w:rFonts w:ascii="Arial" w:hAnsi="Arial" w:cs="Arial"/>
          <w:sz w:val="24"/>
          <w:szCs w:val="24"/>
        </w:rPr>
        <w:t>1 January 2022</w:t>
      </w:r>
      <w:r w:rsidRPr="008135FF">
        <w:rPr>
          <w:rFonts w:ascii="Arial" w:hAnsi="Arial" w:cs="Arial"/>
          <w:sz w:val="24"/>
          <w:szCs w:val="24"/>
        </w:rPr>
        <w:t>.</w:t>
      </w:r>
      <w:r w:rsidRPr="00E82E15">
        <w:rPr>
          <w:rFonts w:ascii="Arial" w:hAnsi="Arial" w:cs="Arial"/>
          <w:sz w:val="24"/>
          <w:szCs w:val="24"/>
        </w:rPr>
        <w:t xml:space="preserve">  </w:t>
      </w:r>
    </w:p>
    <w:p w14:paraId="6AAB9544" w14:textId="77777777" w:rsidR="003B1FA6" w:rsidRDefault="003B1FA6">
      <w:pPr>
        <w:rPr>
          <w:rFonts w:ascii="Arial" w:hAnsi="Arial" w:cs="Arial"/>
          <w:sz w:val="24"/>
          <w:szCs w:val="24"/>
        </w:rPr>
      </w:pPr>
      <w:r>
        <w:rPr>
          <w:rFonts w:ascii="Arial" w:hAnsi="Arial" w:cs="Arial"/>
          <w:sz w:val="24"/>
          <w:szCs w:val="24"/>
        </w:rPr>
        <w:t xml:space="preserve">The change required to do this should not be underestimated; there are many technical, material, developmental and operational challenges in achieving ‘true’ carbon neutrality.  However, the desire to change is emerging throughout the supply chain.  There is an element of competitiveness clearly emerging in design teams, contractors and material manufacturers.  </w:t>
      </w:r>
    </w:p>
    <w:p w14:paraId="77D1D85D" w14:textId="7A63A764" w:rsidR="003B1FA6" w:rsidRDefault="003B1FA6">
      <w:pPr>
        <w:rPr>
          <w:rFonts w:ascii="Arial" w:hAnsi="Arial" w:cs="Arial"/>
          <w:sz w:val="24"/>
          <w:szCs w:val="24"/>
        </w:rPr>
      </w:pPr>
      <w:r>
        <w:rPr>
          <w:rFonts w:ascii="Arial" w:hAnsi="Arial" w:cs="Arial"/>
          <w:sz w:val="24"/>
          <w:szCs w:val="24"/>
        </w:rPr>
        <w:t xml:space="preserve">The </w:t>
      </w:r>
      <w:r w:rsidR="007B6F19">
        <w:rPr>
          <w:rFonts w:ascii="Arial" w:hAnsi="Arial" w:cs="Arial"/>
          <w:sz w:val="24"/>
          <w:szCs w:val="24"/>
        </w:rPr>
        <w:t xml:space="preserve">Sustainable Communities for Learning </w:t>
      </w:r>
      <w:r>
        <w:rPr>
          <w:rFonts w:ascii="Arial" w:hAnsi="Arial" w:cs="Arial"/>
          <w:sz w:val="24"/>
          <w:szCs w:val="24"/>
        </w:rPr>
        <w:t>Programme</w:t>
      </w:r>
      <w:r w:rsidR="003744F3">
        <w:rPr>
          <w:rFonts w:ascii="Arial" w:hAnsi="Arial" w:cs="Arial"/>
          <w:sz w:val="24"/>
          <w:szCs w:val="24"/>
        </w:rPr>
        <w:t xml:space="preserve"> </w:t>
      </w:r>
      <w:r>
        <w:rPr>
          <w:rFonts w:ascii="Arial" w:hAnsi="Arial" w:cs="Arial"/>
          <w:sz w:val="24"/>
          <w:szCs w:val="24"/>
        </w:rPr>
        <w:t>presents a unique opportunity, right at the very heart of our young citizens learning environment, to make significant advancements towards a net zero whole life carbon education and learning infrastructure in Wales.</w:t>
      </w:r>
    </w:p>
    <w:p w14:paraId="48664F30" w14:textId="3E9B207E" w:rsidR="003B1FA6" w:rsidRPr="000C7EEA" w:rsidRDefault="00907F5A">
      <w:pPr>
        <w:rPr>
          <w:rFonts w:ascii="Arial" w:hAnsi="Arial" w:cs="Arial"/>
          <w:b/>
          <w:sz w:val="24"/>
          <w:szCs w:val="24"/>
        </w:rPr>
      </w:pPr>
      <w:r w:rsidRPr="00FC0DCF">
        <w:rPr>
          <w:rFonts w:ascii="Arial" w:hAnsi="Arial" w:cs="Arial"/>
          <w:b/>
          <w:sz w:val="24"/>
          <w:szCs w:val="24"/>
        </w:rPr>
        <w:t>Net Zero Carbon</w:t>
      </w:r>
      <w:r>
        <w:rPr>
          <w:rFonts w:ascii="Arial" w:hAnsi="Arial" w:cs="Arial"/>
          <w:sz w:val="24"/>
          <w:szCs w:val="24"/>
        </w:rPr>
        <w:t xml:space="preserve"> </w:t>
      </w:r>
      <w:r w:rsidR="003B1FA6" w:rsidRPr="000C7EEA">
        <w:rPr>
          <w:rFonts w:ascii="Arial" w:hAnsi="Arial" w:cs="Arial"/>
          <w:b/>
          <w:sz w:val="24"/>
          <w:szCs w:val="24"/>
        </w:rPr>
        <w:t>Projects</w:t>
      </w:r>
    </w:p>
    <w:p w14:paraId="5CDAA91E" w14:textId="77777777" w:rsidR="00067E62" w:rsidRDefault="00067E62" w:rsidP="00067E62">
      <w:pPr>
        <w:rPr>
          <w:rFonts w:ascii="Arial" w:hAnsi="Arial" w:cs="Arial"/>
          <w:sz w:val="24"/>
          <w:szCs w:val="24"/>
        </w:rPr>
      </w:pPr>
      <w:r>
        <w:rPr>
          <w:rFonts w:ascii="Arial" w:hAnsi="Arial" w:cs="Arial"/>
          <w:sz w:val="24"/>
          <w:szCs w:val="24"/>
        </w:rPr>
        <w:t>All projects as of January 2022 will be required to demonstrate carbon reduction techniques and technologies and achieve Net Zero Carbon Operational and meet an embodied carbon</w:t>
      </w:r>
      <w:r w:rsidRPr="00C73B9C">
        <w:rPr>
          <w:rFonts w:ascii="Arial" w:hAnsi="Arial" w:cs="Arial"/>
          <w:sz w:val="24"/>
          <w:szCs w:val="24"/>
        </w:rPr>
        <w:t xml:space="preserve"> </w:t>
      </w:r>
      <w:r>
        <w:rPr>
          <w:rFonts w:ascii="Arial" w:hAnsi="Arial" w:cs="Arial"/>
          <w:sz w:val="24"/>
          <w:szCs w:val="24"/>
        </w:rPr>
        <w:t>target as per table below;</w:t>
      </w:r>
    </w:p>
    <w:tbl>
      <w:tblPr>
        <w:tblStyle w:val="GridTable1Light"/>
        <w:tblW w:w="0" w:type="auto"/>
        <w:tblLook w:val="04A0" w:firstRow="1" w:lastRow="0" w:firstColumn="1" w:lastColumn="0" w:noHBand="0" w:noVBand="1"/>
      </w:tblPr>
      <w:tblGrid>
        <w:gridCol w:w="4500"/>
        <w:gridCol w:w="4516"/>
      </w:tblGrid>
      <w:tr w:rsidR="00067E62" w14:paraId="462CDC14" w14:textId="77777777" w:rsidTr="008A6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4B96BA71" w14:textId="77777777" w:rsidR="00067E62" w:rsidRDefault="00067E62" w:rsidP="008A60F4">
            <w:r>
              <w:t>Years</w:t>
            </w:r>
          </w:p>
        </w:tc>
        <w:tc>
          <w:tcPr>
            <w:tcW w:w="4886" w:type="dxa"/>
          </w:tcPr>
          <w:p w14:paraId="707B5305" w14:textId="77777777" w:rsidR="00067E62" w:rsidRDefault="00067E62" w:rsidP="008A60F4">
            <w:pPr>
              <w:cnfStyle w:val="100000000000" w:firstRow="1" w:lastRow="0" w:firstColumn="0" w:lastColumn="0" w:oddVBand="0" w:evenVBand="0" w:oddHBand="0" w:evenHBand="0" w:firstRowFirstColumn="0" w:firstRowLastColumn="0" w:lastRowFirstColumn="0" w:lastRowLastColumn="0"/>
            </w:pPr>
            <w:r>
              <w:t>Embodied Carbon Target</w:t>
            </w:r>
          </w:p>
        </w:tc>
      </w:tr>
      <w:tr w:rsidR="00067E62" w:rsidRPr="00C406A8" w14:paraId="7B6952FB" w14:textId="77777777" w:rsidTr="008A60F4">
        <w:tc>
          <w:tcPr>
            <w:cnfStyle w:val="001000000000" w:firstRow="0" w:lastRow="0" w:firstColumn="1" w:lastColumn="0" w:oddVBand="0" w:evenVBand="0" w:oddHBand="0" w:evenHBand="0" w:firstRowFirstColumn="0" w:firstRowLastColumn="0" w:lastRowFirstColumn="0" w:lastRowLastColumn="0"/>
            <w:tcW w:w="4885" w:type="dxa"/>
          </w:tcPr>
          <w:p w14:paraId="4203CF72" w14:textId="77777777" w:rsidR="00067E62" w:rsidRDefault="00067E62" w:rsidP="008A60F4">
            <w:r>
              <w:t>2022 - 2024</w:t>
            </w:r>
          </w:p>
        </w:tc>
        <w:tc>
          <w:tcPr>
            <w:tcW w:w="4886" w:type="dxa"/>
          </w:tcPr>
          <w:p w14:paraId="273A1CA3" w14:textId="77777777" w:rsidR="00067E62" w:rsidRPr="00C406A8" w:rsidRDefault="00067E62" w:rsidP="008A60F4">
            <w:pPr>
              <w:cnfStyle w:val="000000000000" w:firstRow="0" w:lastRow="0" w:firstColumn="0" w:lastColumn="0" w:oddVBand="0" w:evenVBand="0" w:oddHBand="0" w:evenHBand="0" w:firstRowFirstColumn="0" w:firstRowLastColumn="0" w:lastRowFirstColumn="0" w:lastRowLastColumn="0"/>
              <w:rPr>
                <w:vertAlign w:val="superscript"/>
              </w:rPr>
            </w:pPr>
            <w:r>
              <w:t>Below 800 kgCO</w:t>
            </w:r>
            <w:r>
              <w:rPr>
                <w:vertAlign w:val="subscript"/>
              </w:rPr>
              <w:t>2</w:t>
            </w:r>
            <w:r>
              <w:t>/m</w:t>
            </w:r>
            <w:r>
              <w:rPr>
                <w:vertAlign w:val="superscript"/>
              </w:rPr>
              <w:t>2</w:t>
            </w:r>
          </w:p>
        </w:tc>
      </w:tr>
      <w:tr w:rsidR="00067E62" w:rsidRPr="00C406A8" w14:paraId="1A1913D5" w14:textId="77777777" w:rsidTr="008A60F4">
        <w:tc>
          <w:tcPr>
            <w:cnfStyle w:val="001000000000" w:firstRow="0" w:lastRow="0" w:firstColumn="1" w:lastColumn="0" w:oddVBand="0" w:evenVBand="0" w:oddHBand="0" w:evenHBand="0" w:firstRowFirstColumn="0" w:firstRowLastColumn="0" w:lastRowFirstColumn="0" w:lastRowLastColumn="0"/>
            <w:tcW w:w="4885" w:type="dxa"/>
          </w:tcPr>
          <w:p w14:paraId="12A1691D" w14:textId="77777777" w:rsidR="00067E62" w:rsidRDefault="00067E62" w:rsidP="008A60F4">
            <w:r>
              <w:t>2025 - 2029</w:t>
            </w:r>
          </w:p>
        </w:tc>
        <w:tc>
          <w:tcPr>
            <w:tcW w:w="4886" w:type="dxa"/>
          </w:tcPr>
          <w:p w14:paraId="554A2FD0" w14:textId="77777777" w:rsidR="00067E62" w:rsidRPr="00C406A8" w:rsidRDefault="00067E62" w:rsidP="008A60F4">
            <w:pPr>
              <w:cnfStyle w:val="000000000000" w:firstRow="0" w:lastRow="0" w:firstColumn="0" w:lastColumn="0" w:oddVBand="0" w:evenVBand="0" w:oddHBand="0" w:evenHBand="0" w:firstRowFirstColumn="0" w:firstRowLastColumn="0" w:lastRowFirstColumn="0" w:lastRowLastColumn="0"/>
              <w:rPr>
                <w:vertAlign w:val="superscript"/>
              </w:rPr>
            </w:pPr>
            <w:r>
              <w:t>Below 600 kgCO</w:t>
            </w:r>
            <w:r>
              <w:rPr>
                <w:vertAlign w:val="subscript"/>
              </w:rPr>
              <w:t>2</w:t>
            </w:r>
            <w:r>
              <w:t>/m</w:t>
            </w:r>
            <w:r>
              <w:rPr>
                <w:vertAlign w:val="superscript"/>
              </w:rPr>
              <w:t>2</w:t>
            </w:r>
          </w:p>
        </w:tc>
      </w:tr>
      <w:tr w:rsidR="00067E62" w14:paraId="1B71113F" w14:textId="77777777" w:rsidTr="008A60F4">
        <w:tc>
          <w:tcPr>
            <w:cnfStyle w:val="001000000000" w:firstRow="0" w:lastRow="0" w:firstColumn="1" w:lastColumn="0" w:oddVBand="0" w:evenVBand="0" w:oddHBand="0" w:evenHBand="0" w:firstRowFirstColumn="0" w:firstRowLastColumn="0" w:lastRowFirstColumn="0" w:lastRowLastColumn="0"/>
            <w:tcW w:w="4885" w:type="dxa"/>
          </w:tcPr>
          <w:p w14:paraId="4F1AA0FA" w14:textId="77777777" w:rsidR="00067E62" w:rsidRDefault="00067E62" w:rsidP="008A60F4">
            <w:r>
              <w:t>2030 - onwards</w:t>
            </w:r>
          </w:p>
        </w:tc>
        <w:tc>
          <w:tcPr>
            <w:tcW w:w="4886" w:type="dxa"/>
          </w:tcPr>
          <w:p w14:paraId="4B9E856A" w14:textId="77777777" w:rsidR="00067E62" w:rsidRDefault="00067E62" w:rsidP="008A60F4">
            <w:pPr>
              <w:cnfStyle w:val="000000000000" w:firstRow="0" w:lastRow="0" w:firstColumn="0" w:lastColumn="0" w:oddVBand="0" w:evenVBand="0" w:oddHBand="0" w:evenHBand="0" w:firstRowFirstColumn="0" w:firstRowLastColumn="0" w:lastRowFirstColumn="0" w:lastRowLastColumn="0"/>
            </w:pPr>
            <w:r>
              <w:t>Below 350 kgCO</w:t>
            </w:r>
            <w:r>
              <w:rPr>
                <w:vertAlign w:val="subscript"/>
              </w:rPr>
              <w:t>2</w:t>
            </w:r>
            <w:r>
              <w:t>/m</w:t>
            </w:r>
            <w:r>
              <w:rPr>
                <w:vertAlign w:val="superscript"/>
              </w:rPr>
              <w:t>2</w:t>
            </w:r>
          </w:p>
        </w:tc>
      </w:tr>
    </w:tbl>
    <w:p w14:paraId="71273F11" w14:textId="77777777" w:rsidR="00067E62" w:rsidRDefault="00067E62">
      <w:pPr>
        <w:rPr>
          <w:rFonts w:ascii="Arial" w:hAnsi="Arial" w:cs="Arial"/>
          <w:sz w:val="24"/>
          <w:szCs w:val="24"/>
        </w:rPr>
      </w:pPr>
    </w:p>
    <w:p w14:paraId="7C3F35A4" w14:textId="5BAF5A47" w:rsidR="00EF6F35" w:rsidRDefault="00EF6F35">
      <w:pPr>
        <w:rPr>
          <w:rFonts w:ascii="Arial" w:hAnsi="Arial" w:cs="Arial"/>
          <w:sz w:val="24"/>
          <w:szCs w:val="24"/>
        </w:rPr>
      </w:pPr>
      <w:r>
        <w:rPr>
          <w:rFonts w:ascii="Arial" w:hAnsi="Arial" w:cs="Arial"/>
          <w:sz w:val="24"/>
          <w:szCs w:val="24"/>
        </w:rPr>
        <w:t>100% of the additional costs to meet this commitment under this current wave of investment</w:t>
      </w:r>
      <w:r w:rsidR="00907F5A">
        <w:rPr>
          <w:rFonts w:ascii="Arial" w:hAnsi="Arial" w:cs="Arial"/>
          <w:sz w:val="24"/>
          <w:szCs w:val="24"/>
        </w:rPr>
        <w:t xml:space="preserve"> will be funded </w:t>
      </w:r>
      <w:r w:rsidR="007B6F19">
        <w:rPr>
          <w:rFonts w:ascii="Arial" w:hAnsi="Arial" w:cs="Arial"/>
          <w:sz w:val="24"/>
          <w:szCs w:val="24"/>
        </w:rPr>
        <w:t>in line with the current benchmark (see Annex 9 Size and Cost Standard)</w:t>
      </w:r>
    </w:p>
    <w:p w14:paraId="3ABA11B6" w14:textId="59A36CBB" w:rsidR="003B1FA6" w:rsidRDefault="003B1FA6">
      <w:pPr>
        <w:rPr>
          <w:rFonts w:ascii="Arial" w:hAnsi="Arial" w:cs="Arial"/>
          <w:sz w:val="24"/>
          <w:szCs w:val="24"/>
        </w:rPr>
      </w:pPr>
      <w:r>
        <w:rPr>
          <w:rFonts w:ascii="Arial" w:hAnsi="Arial" w:cs="Arial"/>
          <w:sz w:val="24"/>
          <w:szCs w:val="24"/>
        </w:rPr>
        <w:t xml:space="preserve">The ambition is to develop projects that can demonstrate zero carbon in operation and measure embodied carbon to a set target.  </w:t>
      </w:r>
      <w:r w:rsidR="000C7EEA">
        <w:rPr>
          <w:rFonts w:ascii="Arial" w:hAnsi="Arial" w:cs="Arial"/>
          <w:sz w:val="24"/>
          <w:szCs w:val="24"/>
        </w:rPr>
        <w:t xml:space="preserve">This embodied target will be a developing target to work towards </w:t>
      </w:r>
      <w:r w:rsidR="007E1C5C">
        <w:rPr>
          <w:rFonts w:ascii="Arial" w:hAnsi="Arial" w:cs="Arial"/>
          <w:sz w:val="24"/>
          <w:szCs w:val="24"/>
        </w:rPr>
        <w:t xml:space="preserve">whole life </w:t>
      </w:r>
      <w:r w:rsidR="000C7EEA">
        <w:rPr>
          <w:rFonts w:ascii="Arial" w:hAnsi="Arial" w:cs="Arial"/>
          <w:sz w:val="24"/>
          <w:szCs w:val="24"/>
        </w:rPr>
        <w:t>net zero</w:t>
      </w:r>
      <w:r w:rsidR="00E01AC7">
        <w:rPr>
          <w:rFonts w:ascii="Arial" w:hAnsi="Arial" w:cs="Arial"/>
          <w:sz w:val="24"/>
          <w:szCs w:val="24"/>
        </w:rPr>
        <w:t xml:space="preserve"> carbon</w:t>
      </w:r>
      <w:r w:rsidR="000C7EEA">
        <w:rPr>
          <w:rFonts w:ascii="Arial" w:hAnsi="Arial" w:cs="Arial"/>
          <w:sz w:val="24"/>
          <w:szCs w:val="24"/>
        </w:rPr>
        <w:t xml:space="preserve"> as developments and technologies in the sector </w:t>
      </w:r>
      <w:r w:rsidR="00E01AC7">
        <w:rPr>
          <w:rFonts w:ascii="Arial" w:hAnsi="Arial" w:cs="Arial"/>
          <w:sz w:val="24"/>
          <w:szCs w:val="24"/>
        </w:rPr>
        <w:t>emerge</w:t>
      </w:r>
      <w:r w:rsidR="000C7EEA">
        <w:rPr>
          <w:rFonts w:ascii="Arial" w:hAnsi="Arial" w:cs="Arial"/>
          <w:sz w:val="24"/>
          <w:szCs w:val="24"/>
        </w:rPr>
        <w:t>.</w:t>
      </w:r>
      <w:r>
        <w:rPr>
          <w:rFonts w:ascii="Arial" w:hAnsi="Arial" w:cs="Arial"/>
          <w:sz w:val="24"/>
          <w:szCs w:val="24"/>
        </w:rPr>
        <w:t xml:space="preserve"> </w:t>
      </w:r>
      <w:r w:rsidR="003744F3">
        <w:rPr>
          <w:rFonts w:ascii="Arial" w:hAnsi="Arial" w:cs="Arial"/>
          <w:sz w:val="24"/>
          <w:szCs w:val="24"/>
        </w:rPr>
        <w:t xml:space="preserve"> </w:t>
      </w:r>
      <w:r w:rsidR="00E01AC7">
        <w:rPr>
          <w:rFonts w:ascii="Arial" w:hAnsi="Arial" w:cs="Arial"/>
          <w:sz w:val="24"/>
          <w:szCs w:val="24"/>
        </w:rPr>
        <w:t xml:space="preserve"> </w:t>
      </w:r>
    </w:p>
    <w:p w14:paraId="0F46386E" w14:textId="3C44F89D" w:rsidR="000C7EEA" w:rsidRPr="000C7EEA" w:rsidRDefault="000C7EEA" w:rsidP="000C7EEA">
      <w:pPr>
        <w:pStyle w:val="paragraph"/>
        <w:spacing w:before="0" w:beforeAutospacing="0" w:after="0" w:afterAutospacing="0"/>
        <w:jc w:val="both"/>
        <w:textAlignment w:val="baseline"/>
        <w:rPr>
          <w:rFonts w:ascii="Arial" w:eastAsiaTheme="minorHAnsi" w:hAnsi="Arial" w:cs="Arial"/>
          <w:lang w:eastAsia="en-US"/>
        </w:rPr>
      </w:pPr>
      <w:r>
        <w:rPr>
          <w:rFonts w:ascii="Arial" w:eastAsiaTheme="minorHAnsi" w:hAnsi="Arial" w:cs="Arial"/>
          <w:lang w:eastAsia="en-US"/>
        </w:rPr>
        <w:lastRenderedPageBreak/>
        <w:t>Projects should deliver</w:t>
      </w:r>
      <w:r w:rsidRPr="000C7EEA">
        <w:rPr>
          <w:rFonts w:ascii="Arial" w:eastAsiaTheme="minorHAnsi" w:hAnsi="Arial" w:cs="Arial"/>
          <w:lang w:eastAsia="en-US"/>
        </w:rPr>
        <w:t xml:space="preserve"> a </w:t>
      </w:r>
      <w:r w:rsidR="00043DC9">
        <w:rPr>
          <w:rFonts w:ascii="Arial" w:eastAsiaTheme="minorHAnsi" w:hAnsi="Arial" w:cs="Arial"/>
          <w:lang w:eastAsia="en-US"/>
        </w:rPr>
        <w:t xml:space="preserve">‘Working </w:t>
      </w:r>
      <w:proofErr w:type="gramStart"/>
      <w:r w:rsidR="00043DC9">
        <w:rPr>
          <w:rFonts w:ascii="Arial" w:eastAsiaTheme="minorHAnsi" w:hAnsi="Arial" w:cs="Arial"/>
          <w:lang w:eastAsia="en-US"/>
        </w:rPr>
        <w:t>Towards</w:t>
      </w:r>
      <w:proofErr w:type="gramEnd"/>
      <w:r w:rsidR="00043DC9">
        <w:rPr>
          <w:rFonts w:ascii="Arial" w:eastAsiaTheme="minorHAnsi" w:hAnsi="Arial" w:cs="Arial"/>
          <w:lang w:eastAsia="en-US"/>
        </w:rPr>
        <w:t xml:space="preserve"> </w:t>
      </w:r>
      <w:r w:rsidR="002B0E8A">
        <w:rPr>
          <w:rFonts w:ascii="Arial" w:eastAsiaTheme="minorHAnsi" w:hAnsi="Arial" w:cs="Arial"/>
          <w:lang w:eastAsia="en-US"/>
        </w:rPr>
        <w:t xml:space="preserve">Whole Life </w:t>
      </w:r>
      <w:r w:rsidRPr="000C7EEA">
        <w:rPr>
          <w:rFonts w:ascii="Arial" w:eastAsiaTheme="minorHAnsi" w:hAnsi="Arial" w:cs="Arial"/>
          <w:lang w:eastAsia="en-US"/>
        </w:rPr>
        <w:t>Net Zero Carbon</w:t>
      </w:r>
      <w:r w:rsidR="00043DC9">
        <w:rPr>
          <w:rFonts w:ascii="Arial" w:eastAsiaTheme="minorHAnsi" w:hAnsi="Arial" w:cs="Arial"/>
          <w:lang w:eastAsia="en-US"/>
        </w:rPr>
        <w:t>’</w:t>
      </w:r>
      <w:r w:rsidRPr="000C7EEA">
        <w:rPr>
          <w:rFonts w:ascii="Arial" w:eastAsiaTheme="minorHAnsi" w:hAnsi="Arial" w:cs="Arial"/>
          <w:lang w:eastAsia="en-US"/>
        </w:rPr>
        <w:t xml:space="preserve"> solution in accordance with the </w:t>
      </w:r>
      <w:r w:rsidR="002B0E8A">
        <w:rPr>
          <w:rFonts w:ascii="Arial" w:eastAsiaTheme="minorHAnsi" w:hAnsi="Arial" w:cs="Arial"/>
          <w:lang w:eastAsia="en-US"/>
        </w:rPr>
        <w:t>targets below which are</w:t>
      </w:r>
      <w:r w:rsidRPr="000C7EEA">
        <w:rPr>
          <w:rFonts w:ascii="Arial" w:eastAsiaTheme="minorHAnsi" w:hAnsi="Arial" w:cs="Arial"/>
          <w:lang w:eastAsia="en-US"/>
        </w:rPr>
        <w:t xml:space="preserve"> based on the UKGBC’s definition and best practice in construction: </w:t>
      </w:r>
    </w:p>
    <w:p w14:paraId="13EF881D" w14:textId="77777777" w:rsidR="000C7EEA" w:rsidRPr="000C7EEA" w:rsidRDefault="000C7EEA" w:rsidP="000C7EEA">
      <w:pPr>
        <w:pStyle w:val="paragraph"/>
        <w:spacing w:before="0" w:beforeAutospacing="0" w:after="0" w:afterAutospacing="0"/>
        <w:jc w:val="both"/>
        <w:textAlignment w:val="baseline"/>
        <w:rPr>
          <w:rFonts w:eastAsiaTheme="minorHAnsi"/>
          <w:lang w:eastAsia="en-US"/>
        </w:rPr>
      </w:pPr>
    </w:p>
    <w:p w14:paraId="67458431" w14:textId="2EB1669B" w:rsidR="000C7EEA" w:rsidRDefault="000C7EEA" w:rsidP="000C7EEA">
      <w:pPr>
        <w:pStyle w:val="paragraph"/>
        <w:spacing w:before="0" w:beforeAutospacing="0" w:after="0" w:afterAutospacing="0"/>
        <w:jc w:val="both"/>
        <w:textAlignment w:val="baseline"/>
        <w:rPr>
          <w:rFonts w:ascii="Arial" w:eastAsiaTheme="minorHAnsi" w:hAnsi="Arial" w:cs="Arial"/>
          <w:b/>
          <w:lang w:eastAsia="en-US"/>
        </w:rPr>
      </w:pPr>
      <w:r w:rsidRPr="003744F3">
        <w:rPr>
          <w:rFonts w:ascii="Arial" w:eastAsiaTheme="minorHAnsi" w:hAnsi="Arial" w:cs="Arial"/>
          <w:b/>
          <w:lang w:eastAsia="en-US"/>
        </w:rPr>
        <w:t>Definition</w:t>
      </w:r>
    </w:p>
    <w:p w14:paraId="11CF6104" w14:textId="5BC99CCF" w:rsidR="000567A6" w:rsidRDefault="000567A6" w:rsidP="000C7EEA">
      <w:pPr>
        <w:pStyle w:val="paragraph"/>
        <w:spacing w:before="0" w:beforeAutospacing="0" w:after="0" w:afterAutospacing="0"/>
        <w:jc w:val="both"/>
        <w:textAlignment w:val="baseline"/>
        <w:rPr>
          <w:rFonts w:ascii="Arial" w:eastAsiaTheme="minorHAnsi" w:hAnsi="Arial" w:cs="Arial"/>
          <w:b/>
          <w:lang w:eastAsia="en-US"/>
        </w:rPr>
      </w:pPr>
    </w:p>
    <w:p w14:paraId="6091A08A" w14:textId="2F2BB0D0" w:rsidR="000567A6" w:rsidRDefault="000567A6" w:rsidP="000567A6">
      <w:pPr>
        <w:rPr>
          <w:i/>
          <w:iCs/>
          <w:lang w:eastAsia="en-GB"/>
        </w:rPr>
      </w:pPr>
      <w:r>
        <w:rPr>
          <w:i/>
          <w:iCs/>
        </w:rPr>
        <w:t>The UK Green Building Council (UKGBC) define whole life net zero carbon as “when the amount of carbon emissions associated with a building’s embodied and operational impacts over the life of the building, including its disposal, are zero or negative”.</w:t>
      </w:r>
      <w:r>
        <w:rPr>
          <w:rStyle w:val="FootnoteReference"/>
          <w:b/>
          <w:bCs/>
          <w:i/>
          <w:iCs/>
        </w:rPr>
        <w:footnoteReference w:customMarkFollows="1" w:id="1"/>
        <w:t>[1]</w:t>
      </w:r>
      <w:r>
        <w:rPr>
          <w:i/>
          <w:iCs/>
        </w:rPr>
        <w:t xml:space="preserve"> This means that throughout the whole lifecycle of a building, including its construction, the products and components used in construction, the operational energy use, during maintenance and at its end of life, there will be net zero carbon emissions. Increasing efficiency of material use, improved construction practices and reducing operational demand should be prioritised, and the building must offset the remaining carbon impacts associated with its lifecycle. Carbon offsetting through methods associated with exporting on-site renewable power/heat generation, the use of construction materials which capture carbon (e.g. through biogenic carbon sequestration in timber) and supporting on-site natural carbon capture (e.g. through tree or native hedge planting) should be considered ahead of off-site options.</w:t>
      </w:r>
      <w:r>
        <w:rPr>
          <w:i/>
          <w:iCs/>
          <w:lang w:eastAsia="en-GB"/>
        </w:rPr>
        <w:t xml:space="preserve"> </w:t>
      </w:r>
    </w:p>
    <w:p w14:paraId="236B4F12" w14:textId="77777777" w:rsidR="00F5467B" w:rsidRDefault="00F5467B" w:rsidP="00F5467B">
      <w:pPr>
        <w:ind w:left="1134" w:right="1252"/>
      </w:pPr>
      <w:r>
        <w:t xml:space="preserve">The net zero carbon buildings framework sets out definitions and principles around two approaches to net zero carbon, which are of equal importance: </w:t>
      </w:r>
    </w:p>
    <w:p w14:paraId="66C521A1" w14:textId="77777777" w:rsidR="00F5467B" w:rsidRDefault="00F5467B" w:rsidP="00F5467B">
      <w:pPr>
        <w:ind w:left="1134" w:right="1252"/>
      </w:pPr>
      <w:r>
        <w:t xml:space="preserve">Net zero carbon – </w:t>
      </w:r>
      <w:r w:rsidRPr="00053036">
        <w:rPr>
          <w:b/>
        </w:rPr>
        <w:t>construction</w:t>
      </w:r>
      <w:r>
        <w:t xml:space="preserve"> (1.1): “When the amount of carbon emissions associated with a building’s product and construction stages up to practical completion is zero or negative, through the use of offsets or the net export of on-site renewable energy.”</w:t>
      </w:r>
    </w:p>
    <w:p w14:paraId="33A81141" w14:textId="77777777" w:rsidR="00F5467B" w:rsidRDefault="00F5467B" w:rsidP="00F5467B">
      <w:pPr>
        <w:ind w:left="1134" w:right="1252"/>
      </w:pPr>
      <w:r>
        <w:t xml:space="preserve">Net zero carbon – </w:t>
      </w:r>
      <w:r w:rsidRPr="00053036">
        <w:rPr>
          <w:b/>
        </w:rPr>
        <w:t>operational energy</w:t>
      </w:r>
      <w:r>
        <w:t xml:space="preserve"> (1.2): “When the amount of carbon emissions associated with the building’s operational energy on an annual basis is zero or negative. A net zero carbon building is highly energy efficient and powered from on-site and/or off-site renewable energy sources, with any remaining carbon balance offset.” </w:t>
      </w:r>
    </w:p>
    <w:p w14:paraId="51AAB671" w14:textId="77777777" w:rsidR="00F5467B" w:rsidRDefault="00F5467B" w:rsidP="00F5467B">
      <w:pPr>
        <w:ind w:left="1134" w:right="1252"/>
      </w:pPr>
      <w:r>
        <w:t xml:space="preserve">Net zero carbon – </w:t>
      </w:r>
      <w:r w:rsidRPr="00053036">
        <w:rPr>
          <w:b/>
        </w:rPr>
        <w:t>whole life</w:t>
      </w:r>
      <w:r>
        <w:t xml:space="preserve"> (1.3) is also proposed at a high level, but further work will be needed to define the scope and requirements for this approach.</w:t>
      </w:r>
    </w:p>
    <w:p w14:paraId="3A2AEBD0" w14:textId="77777777" w:rsidR="00F5467B" w:rsidRPr="000567A6" w:rsidRDefault="00F5467B" w:rsidP="000567A6">
      <w:pPr>
        <w:rPr>
          <w:i/>
          <w:iCs/>
          <w:lang w:eastAsia="en-GB"/>
        </w:rPr>
      </w:pPr>
    </w:p>
    <w:p w14:paraId="70ED4CD3" w14:textId="0998DD6D" w:rsidR="000C7EEA" w:rsidRPr="002B0E8A" w:rsidRDefault="002B0E8A" w:rsidP="000C7EEA">
      <w:pPr>
        <w:pStyle w:val="paragraph"/>
        <w:spacing w:before="0" w:beforeAutospacing="0" w:after="0" w:afterAutospacing="0"/>
        <w:jc w:val="both"/>
        <w:textAlignment w:val="baseline"/>
        <w:rPr>
          <w:rFonts w:ascii="Arial" w:eastAsiaTheme="minorHAnsi" w:hAnsi="Arial" w:cs="Arial"/>
          <w:b/>
          <w:lang w:eastAsia="en-US"/>
        </w:rPr>
      </w:pPr>
      <w:r>
        <w:rPr>
          <w:rFonts w:ascii="Arial" w:eastAsiaTheme="minorHAnsi" w:hAnsi="Arial" w:cs="Arial"/>
          <w:b/>
          <w:lang w:eastAsia="en-US"/>
        </w:rPr>
        <w:t>Targets</w:t>
      </w:r>
    </w:p>
    <w:p w14:paraId="3ACC96DF" w14:textId="77777777" w:rsidR="002B0E8A" w:rsidRPr="000C7EEA" w:rsidRDefault="002B0E8A" w:rsidP="000C7EEA">
      <w:pPr>
        <w:pStyle w:val="paragraph"/>
        <w:spacing w:before="0" w:beforeAutospacing="0" w:after="0" w:afterAutospacing="0"/>
        <w:jc w:val="both"/>
        <w:textAlignment w:val="baseline"/>
        <w:rPr>
          <w:rFonts w:ascii="Arial" w:eastAsiaTheme="minorHAnsi" w:hAnsi="Arial" w:cs="Arial"/>
          <w:lang w:eastAsia="en-US"/>
        </w:rPr>
      </w:pPr>
    </w:p>
    <w:p w14:paraId="5AA9329C" w14:textId="4939FBFA" w:rsidR="003744F3" w:rsidRDefault="002B0E8A" w:rsidP="008A3678">
      <w:pPr>
        <w:pStyle w:val="paragraph"/>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t xml:space="preserve">Projects will be expected to have Net Zero Carbon - </w:t>
      </w:r>
      <w:r w:rsidR="000C7EEA" w:rsidRPr="000C7EEA">
        <w:rPr>
          <w:rFonts w:ascii="Arial" w:eastAsiaTheme="minorHAnsi" w:hAnsi="Arial" w:cs="Arial"/>
          <w:lang w:eastAsia="en-US"/>
        </w:rPr>
        <w:t>Operational Energy - A net zero carbon building is highly energy efficient and powered from on-site and/or off-site renewable energy sources, with any remaining carbon balance offset.</w:t>
      </w:r>
    </w:p>
    <w:p w14:paraId="28078388" w14:textId="77777777" w:rsidR="003744F3" w:rsidRDefault="003744F3" w:rsidP="008A3678">
      <w:pPr>
        <w:pStyle w:val="paragraph"/>
        <w:spacing w:before="0" w:beforeAutospacing="0" w:after="0" w:afterAutospacing="0"/>
        <w:textAlignment w:val="baseline"/>
        <w:rPr>
          <w:rFonts w:ascii="Arial" w:eastAsiaTheme="minorHAnsi" w:hAnsi="Arial" w:cs="Arial"/>
          <w:lang w:eastAsia="en-US"/>
        </w:rPr>
      </w:pPr>
    </w:p>
    <w:p w14:paraId="434DD1B9" w14:textId="424BDBEC" w:rsidR="000C7EEA" w:rsidRPr="000C7EEA" w:rsidRDefault="000C7EEA" w:rsidP="008A3678">
      <w:pPr>
        <w:pStyle w:val="paragraph"/>
        <w:spacing w:before="0" w:beforeAutospacing="0" w:after="0" w:afterAutospacing="0"/>
        <w:textAlignment w:val="baseline"/>
        <w:rPr>
          <w:rFonts w:ascii="Arial" w:eastAsiaTheme="minorHAnsi" w:hAnsi="Arial" w:cs="Arial"/>
          <w:lang w:eastAsia="en-US"/>
        </w:rPr>
      </w:pPr>
      <w:r w:rsidRPr="000C7EEA">
        <w:rPr>
          <w:rFonts w:ascii="Arial" w:eastAsiaTheme="minorHAnsi" w:hAnsi="Arial" w:cs="Arial"/>
          <w:lang w:eastAsia="en-US"/>
        </w:rPr>
        <w:t>Highly efficient is defined as using no more than the minimum energy than is required to support occupant health and comfort while allowing the building to function</w:t>
      </w:r>
      <w:r>
        <w:rPr>
          <w:rFonts w:ascii="Arial" w:eastAsiaTheme="minorHAnsi" w:hAnsi="Arial" w:cs="Arial"/>
          <w:lang w:eastAsia="en-US"/>
        </w:rPr>
        <w:t>.</w:t>
      </w:r>
      <w:r w:rsidRPr="000C7EEA">
        <w:rPr>
          <w:rFonts w:ascii="Arial" w:eastAsiaTheme="minorHAnsi" w:hAnsi="Arial" w:cs="Arial"/>
          <w:lang w:eastAsia="en-US"/>
        </w:rPr>
        <w:t xml:space="preserve"> </w:t>
      </w:r>
      <w:r>
        <w:rPr>
          <w:rFonts w:ascii="Arial" w:eastAsiaTheme="minorHAnsi" w:hAnsi="Arial" w:cs="Arial"/>
          <w:lang w:eastAsia="en-US"/>
        </w:rPr>
        <w:t>The</w:t>
      </w:r>
      <w:r w:rsidRPr="000C7EEA">
        <w:rPr>
          <w:rFonts w:ascii="Arial" w:eastAsiaTheme="minorHAnsi" w:hAnsi="Arial" w:cs="Arial"/>
          <w:lang w:eastAsia="en-US"/>
        </w:rPr>
        <w:t xml:space="preserve"> pilot project will inform what kwh/m2 energy intensity will be associated </w:t>
      </w:r>
      <w:r w:rsidRPr="000C7EEA">
        <w:rPr>
          <w:rFonts w:ascii="Arial" w:eastAsiaTheme="minorHAnsi" w:hAnsi="Arial" w:cs="Arial"/>
          <w:lang w:eastAsia="en-US"/>
        </w:rPr>
        <w:lastRenderedPageBreak/>
        <w:t xml:space="preserve">with Zero Carbon.  </w:t>
      </w:r>
      <w:r w:rsidR="003744F3">
        <w:rPr>
          <w:rFonts w:ascii="Arial" w:eastAsiaTheme="minorHAnsi" w:hAnsi="Arial" w:cs="Arial"/>
          <w:lang w:eastAsia="en-US"/>
        </w:rPr>
        <w:t>The</w:t>
      </w:r>
      <w:r w:rsidRPr="000C7EEA">
        <w:rPr>
          <w:rFonts w:ascii="Arial" w:eastAsiaTheme="minorHAnsi" w:hAnsi="Arial" w:cs="Arial"/>
          <w:lang w:eastAsia="en-US"/>
        </w:rPr>
        <w:t xml:space="preserve"> </w:t>
      </w:r>
      <w:r w:rsidR="00907F5A">
        <w:rPr>
          <w:rFonts w:ascii="Arial" w:eastAsiaTheme="minorHAnsi" w:hAnsi="Arial" w:cs="Arial"/>
          <w:lang w:eastAsia="en-US"/>
        </w:rPr>
        <w:t xml:space="preserve">Programme </w:t>
      </w:r>
      <w:r w:rsidR="003744F3" w:rsidRPr="000C7EEA">
        <w:rPr>
          <w:rFonts w:ascii="Arial" w:eastAsiaTheme="minorHAnsi" w:hAnsi="Arial" w:cs="Arial"/>
          <w:lang w:eastAsia="en-US"/>
        </w:rPr>
        <w:t>aspiration</w:t>
      </w:r>
      <w:r w:rsidR="003744F3">
        <w:rPr>
          <w:rFonts w:ascii="Arial" w:eastAsiaTheme="minorHAnsi" w:hAnsi="Arial" w:cs="Arial"/>
          <w:lang w:eastAsia="en-US"/>
        </w:rPr>
        <w:t xml:space="preserve"> is </w:t>
      </w:r>
      <w:r w:rsidRPr="000C7EEA">
        <w:rPr>
          <w:rFonts w:ascii="Arial" w:eastAsiaTheme="minorHAnsi" w:hAnsi="Arial" w:cs="Arial"/>
          <w:lang w:eastAsia="en-US"/>
        </w:rPr>
        <w:t xml:space="preserve">that on site renewable energy sources </w:t>
      </w:r>
      <w:r w:rsidR="003744F3">
        <w:rPr>
          <w:rFonts w:ascii="Arial" w:eastAsiaTheme="minorHAnsi" w:hAnsi="Arial" w:cs="Arial"/>
          <w:lang w:eastAsia="en-US"/>
        </w:rPr>
        <w:t>are maximised</w:t>
      </w:r>
      <w:r w:rsidR="003744F3" w:rsidRPr="000C7EEA">
        <w:rPr>
          <w:rFonts w:ascii="Arial" w:eastAsiaTheme="minorHAnsi" w:hAnsi="Arial" w:cs="Arial"/>
          <w:lang w:eastAsia="en-US"/>
        </w:rPr>
        <w:t xml:space="preserve"> </w:t>
      </w:r>
      <w:r w:rsidRPr="000C7EEA">
        <w:rPr>
          <w:rFonts w:ascii="Arial" w:eastAsiaTheme="minorHAnsi" w:hAnsi="Arial" w:cs="Arial"/>
          <w:lang w:eastAsia="en-US"/>
        </w:rPr>
        <w:t>prior to considering any off-site generation.</w:t>
      </w:r>
    </w:p>
    <w:p w14:paraId="1B736D77" w14:textId="77777777" w:rsidR="000C7EEA" w:rsidRPr="000C7EEA" w:rsidRDefault="000C7EEA" w:rsidP="008A3678">
      <w:pPr>
        <w:pStyle w:val="paragraph"/>
        <w:spacing w:before="0" w:beforeAutospacing="0" w:after="0" w:afterAutospacing="0"/>
        <w:textAlignment w:val="baseline"/>
        <w:rPr>
          <w:rFonts w:ascii="Arial" w:eastAsiaTheme="minorHAnsi" w:hAnsi="Arial" w:cs="Arial"/>
          <w:lang w:eastAsia="en-US"/>
        </w:rPr>
      </w:pPr>
    </w:p>
    <w:p w14:paraId="363B3E1B" w14:textId="77777777" w:rsidR="000C7EEA" w:rsidRPr="008A3678" w:rsidRDefault="000C7EEA" w:rsidP="000C7EEA">
      <w:pPr>
        <w:pStyle w:val="paragraph"/>
        <w:spacing w:before="0" w:beforeAutospacing="0" w:after="0" w:afterAutospacing="0"/>
        <w:jc w:val="both"/>
        <w:textAlignment w:val="baseline"/>
        <w:rPr>
          <w:rFonts w:ascii="Arial" w:eastAsiaTheme="minorHAnsi" w:hAnsi="Arial" w:cs="Arial"/>
          <w:b/>
          <w:lang w:eastAsia="en-US"/>
        </w:rPr>
      </w:pPr>
      <w:r w:rsidRPr="008A3678">
        <w:rPr>
          <w:rFonts w:ascii="Arial" w:eastAsiaTheme="minorHAnsi" w:hAnsi="Arial" w:cs="Arial"/>
          <w:b/>
          <w:lang w:eastAsia="en-US"/>
        </w:rPr>
        <w:t>Embodied Carbon Target</w:t>
      </w:r>
    </w:p>
    <w:p w14:paraId="19CA5D6A" w14:textId="77777777" w:rsidR="000C7EEA" w:rsidRPr="000C7EEA" w:rsidRDefault="000C7EEA" w:rsidP="000C7EEA">
      <w:pPr>
        <w:pStyle w:val="paragraph"/>
        <w:spacing w:before="0" w:beforeAutospacing="0" w:after="0" w:afterAutospacing="0"/>
        <w:jc w:val="both"/>
        <w:textAlignment w:val="baseline"/>
        <w:rPr>
          <w:rFonts w:ascii="Arial" w:eastAsiaTheme="minorHAnsi" w:hAnsi="Arial" w:cs="Arial"/>
          <w:lang w:eastAsia="en-US"/>
        </w:rPr>
      </w:pPr>
    </w:p>
    <w:p w14:paraId="01C23AEA" w14:textId="77777777" w:rsidR="00067E62" w:rsidRDefault="00067E62" w:rsidP="00067E62">
      <w:pPr>
        <w:pStyle w:val="paragraph"/>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t>The Programme</w:t>
      </w:r>
      <w:r w:rsidRPr="000C7EEA">
        <w:rPr>
          <w:rFonts w:ascii="Arial" w:eastAsiaTheme="minorHAnsi" w:hAnsi="Arial" w:cs="Arial"/>
          <w:lang w:eastAsia="en-US"/>
        </w:rPr>
        <w:t xml:space="preserve"> would expect any solution proposed to comply with </w:t>
      </w:r>
      <w:r>
        <w:rPr>
          <w:rFonts w:ascii="Arial" w:eastAsiaTheme="minorHAnsi" w:hAnsi="Arial" w:cs="Arial"/>
          <w:lang w:eastAsia="en-US"/>
        </w:rPr>
        <w:t xml:space="preserve">the </w:t>
      </w:r>
      <w:r w:rsidRPr="000C7EEA">
        <w:rPr>
          <w:rFonts w:ascii="Arial" w:eastAsiaTheme="minorHAnsi" w:hAnsi="Arial" w:cs="Arial"/>
          <w:lang w:eastAsia="en-US"/>
        </w:rPr>
        <w:t xml:space="preserve">embodied </w:t>
      </w:r>
      <w:r>
        <w:rPr>
          <w:rFonts w:ascii="Arial" w:eastAsiaTheme="minorHAnsi" w:hAnsi="Arial" w:cs="Arial"/>
          <w:lang w:eastAsia="en-US"/>
        </w:rPr>
        <w:t>carbon</w:t>
      </w:r>
      <w:r w:rsidRPr="000C7EEA">
        <w:rPr>
          <w:rFonts w:ascii="Arial" w:eastAsiaTheme="minorHAnsi" w:hAnsi="Arial" w:cs="Arial"/>
          <w:lang w:eastAsia="en-US"/>
        </w:rPr>
        <w:t xml:space="preserve"> target</w:t>
      </w:r>
      <w:r>
        <w:rPr>
          <w:rFonts w:ascii="Arial" w:eastAsiaTheme="minorHAnsi" w:hAnsi="Arial" w:cs="Arial"/>
          <w:lang w:eastAsia="en-US"/>
        </w:rPr>
        <w:t>s as per table below;</w:t>
      </w:r>
    </w:p>
    <w:p w14:paraId="135AD596" w14:textId="77777777" w:rsidR="00067E62" w:rsidRPr="000C7EEA" w:rsidRDefault="00067E62" w:rsidP="00067E62">
      <w:pPr>
        <w:pStyle w:val="paragraph"/>
        <w:spacing w:before="0" w:beforeAutospacing="0" w:after="0" w:afterAutospacing="0"/>
        <w:textAlignment w:val="baseline"/>
        <w:rPr>
          <w:rFonts w:ascii="Arial" w:eastAsiaTheme="minorHAnsi" w:hAnsi="Arial" w:cs="Arial"/>
          <w:lang w:eastAsia="en-US"/>
        </w:rPr>
      </w:pPr>
    </w:p>
    <w:tbl>
      <w:tblPr>
        <w:tblStyle w:val="GridTable1Light"/>
        <w:tblW w:w="0" w:type="auto"/>
        <w:tblLook w:val="04A0" w:firstRow="1" w:lastRow="0" w:firstColumn="1" w:lastColumn="0" w:noHBand="0" w:noVBand="1"/>
      </w:tblPr>
      <w:tblGrid>
        <w:gridCol w:w="4500"/>
        <w:gridCol w:w="4516"/>
      </w:tblGrid>
      <w:tr w:rsidR="00067E62" w14:paraId="229701E3" w14:textId="77777777" w:rsidTr="008A6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1EC0A646" w14:textId="77777777" w:rsidR="00067E62" w:rsidRDefault="00067E62" w:rsidP="008A60F4">
            <w:r>
              <w:t>Years</w:t>
            </w:r>
          </w:p>
        </w:tc>
        <w:tc>
          <w:tcPr>
            <w:tcW w:w="4886" w:type="dxa"/>
          </w:tcPr>
          <w:p w14:paraId="5FB7A08C" w14:textId="77777777" w:rsidR="00067E62" w:rsidRDefault="00067E62" w:rsidP="008A60F4">
            <w:pPr>
              <w:cnfStyle w:val="100000000000" w:firstRow="1" w:lastRow="0" w:firstColumn="0" w:lastColumn="0" w:oddVBand="0" w:evenVBand="0" w:oddHBand="0" w:evenHBand="0" w:firstRowFirstColumn="0" w:firstRowLastColumn="0" w:lastRowFirstColumn="0" w:lastRowLastColumn="0"/>
            </w:pPr>
            <w:r>
              <w:t>Embodied Carbon Target</w:t>
            </w:r>
          </w:p>
        </w:tc>
      </w:tr>
      <w:tr w:rsidR="00067E62" w:rsidRPr="00C406A8" w14:paraId="4A4BFEC8" w14:textId="77777777" w:rsidTr="008A60F4">
        <w:tc>
          <w:tcPr>
            <w:cnfStyle w:val="001000000000" w:firstRow="0" w:lastRow="0" w:firstColumn="1" w:lastColumn="0" w:oddVBand="0" w:evenVBand="0" w:oddHBand="0" w:evenHBand="0" w:firstRowFirstColumn="0" w:firstRowLastColumn="0" w:lastRowFirstColumn="0" w:lastRowLastColumn="0"/>
            <w:tcW w:w="4885" w:type="dxa"/>
          </w:tcPr>
          <w:p w14:paraId="163031F1" w14:textId="77777777" w:rsidR="00067E62" w:rsidRDefault="00067E62" w:rsidP="008A60F4">
            <w:r>
              <w:t>2022 - 2024</w:t>
            </w:r>
          </w:p>
        </w:tc>
        <w:tc>
          <w:tcPr>
            <w:tcW w:w="4886" w:type="dxa"/>
          </w:tcPr>
          <w:p w14:paraId="51F8A12C" w14:textId="77777777" w:rsidR="00067E62" w:rsidRPr="00C406A8" w:rsidRDefault="00067E62" w:rsidP="008A60F4">
            <w:pPr>
              <w:cnfStyle w:val="000000000000" w:firstRow="0" w:lastRow="0" w:firstColumn="0" w:lastColumn="0" w:oddVBand="0" w:evenVBand="0" w:oddHBand="0" w:evenHBand="0" w:firstRowFirstColumn="0" w:firstRowLastColumn="0" w:lastRowFirstColumn="0" w:lastRowLastColumn="0"/>
              <w:rPr>
                <w:vertAlign w:val="superscript"/>
              </w:rPr>
            </w:pPr>
            <w:r>
              <w:t>Below 800 kgCO</w:t>
            </w:r>
            <w:r>
              <w:rPr>
                <w:vertAlign w:val="subscript"/>
              </w:rPr>
              <w:t>2</w:t>
            </w:r>
            <w:r>
              <w:t>/m</w:t>
            </w:r>
            <w:r>
              <w:rPr>
                <w:vertAlign w:val="superscript"/>
              </w:rPr>
              <w:t>2</w:t>
            </w:r>
          </w:p>
        </w:tc>
      </w:tr>
      <w:tr w:rsidR="00067E62" w:rsidRPr="00C406A8" w14:paraId="16A578EA" w14:textId="77777777" w:rsidTr="008A60F4">
        <w:tc>
          <w:tcPr>
            <w:cnfStyle w:val="001000000000" w:firstRow="0" w:lastRow="0" w:firstColumn="1" w:lastColumn="0" w:oddVBand="0" w:evenVBand="0" w:oddHBand="0" w:evenHBand="0" w:firstRowFirstColumn="0" w:firstRowLastColumn="0" w:lastRowFirstColumn="0" w:lastRowLastColumn="0"/>
            <w:tcW w:w="4885" w:type="dxa"/>
          </w:tcPr>
          <w:p w14:paraId="607A2AC7" w14:textId="77777777" w:rsidR="00067E62" w:rsidRDefault="00067E62" w:rsidP="008A60F4">
            <w:r>
              <w:t>2025 - 2029</w:t>
            </w:r>
          </w:p>
        </w:tc>
        <w:tc>
          <w:tcPr>
            <w:tcW w:w="4886" w:type="dxa"/>
          </w:tcPr>
          <w:p w14:paraId="49C7F241" w14:textId="77777777" w:rsidR="00067E62" w:rsidRPr="00C406A8" w:rsidRDefault="00067E62" w:rsidP="008A60F4">
            <w:pPr>
              <w:cnfStyle w:val="000000000000" w:firstRow="0" w:lastRow="0" w:firstColumn="0" w:lastColumn="0" w:oddVBand="0" w:evenVBand="0" w:oddHBand="0" w:evenHBand="0" w:firstRowFirstColumn="0" w:firstRowLastColumn="0" w:lastRowFirstColumn="0" w:lastRowLastColumn="0"/>
              <w:rPr>
                <w:vertAlign w:val="superscript"/>
              </w:rPr>
            </w:pPr>
            <w:r>
              <w:t>Below 600 kgCO</w:t>
            </w:r>
            <w:r>
              <w:rPr>
                <w:vertAlign w:val="subscript"/>
              </w:rPr>
              <w:t>2</w:t>
            </w:r>
            <w:r>
              <w:t>/m</w:t>
            </w:r>
            <w:r>
              <w:rPr>
                <w:vertAlign w:val="superscript"/>
              </w:rPr>
              <w:t>2</w:t>
            </w:r>
          </w:p>
        </w:tc>
      </w:tr>
      <w:tr w:rsidR="00067E62" w14:paraId="3F2BABC0" w14:textId="77777777" w:rsidTr="008A60F4">
        <w:tc>
          <w:tcPr>
            <w:cnfStyle w:val="001000000000" w:firstRow="0" w:lastRow="0" w:firstColumn="1" w:lastColumn="0" w:oddVBand="0" w:evenVBand="0" w:oddHBand="0" w:evenHBand="0" w:firstRowFirstColumn="0" w:firstRowLastColumn="0" w:lastRowFirstColumn="0" w:lastRowLastColumn="0"/>
            <w:tcW w:w="4885" w:type="dxa"/>
          </w:tcPr>
          <w:p w14:paraId="651C5F8E" w14:textId="77777777" w:rsidR="00067E62" w:rsidRDefault="00067E62" w:rsidP="008A60F4">
            <w:r>
              <w:t>2030 - onwards</w:t>
            </w:r>
          </w:p>
        </w:tc>
        <w:tc>
          <w:tcPr>
            <w:tcW w:w="4886" w:type="dxa"/>
          </w:tcPr>
          <w:p w14:paraId="0C8AAD6B" w14:textId="77777777" w:rsidR="00067E62" w:rsidRDefault="00067E62" w:rsidP="008A60F4">
            <w:pPr>
              <w:cnfStyle w:val="000000000000" w:firstRow="0" w:lastRow="0" w:firstColumn="0" w:lastColumn="0" w:oddVBand="0" w:evenVBand="0" w:oddHBand="0" w:evenHBand="0" w:firstRowFirstColumn="0" w:firstRowLastColumn="0" w:lastRowFirstColumn="0" w:lastRowLastColumn="0"/>
            </w:pPr>
            <w:r>
              <w:t>Below 350 kgCO</w:t>
            </w:r>
            <w:r>
              <w:rPr>
                <w:vertAlign w:val="subscript"/>
              </w:rPr>
              <w:t>2</w:t>
            </w:r>
            <w:r>
              <w:t>/m</w:t>
            </w:r>
            <w:r>
              <w:rPr>
                <w:vertAlign w:val="superscript"/>
              </w:rPr>
              <w:t>2</w:t>
            </w:r>
          </w:p>
        </w:tc>
      </w:tr>
    </w:tbl>
    <w:p w14:paraId="12F43210" w14:textId="77777777" w:rsidR="00067E62" w:rsidRDefault="00067E62" w:rsidP="000C7EEA">
      <w:pPr>
        <w:pStyle w:val="paragraph"/>
        <w:spacing w:before="0" w:beforeAutospacing="0" w:after="0" w:afterAutospacing="0"/>
        <w:jc w:val="both"/>
        <w:textAlignment w:val="baseline"/>
        <w:rPr>
          <w:rFonts w:ascii="Arial" w:eastAsiaTheme="minorHAnsi" w:hAnsi="Arial" w:cs="Arial"/>
          <w:b/>
          <w:lang w:eastAsia="en-US"/>
        </w:rPr>
      </w:pPr>
    </w:p>
    <w:p w14:paraId="0A697F52" w14:textId="0968C257" w:rsidR="003744F3" w:rsidRPr="003744F3" w:rsidRDefault="003744F3" w:rsidP="000C7EEA">
      <w:pPr>
        <w:pStyle w:val="paragraph"/>
        <w:spacing w:before="0" w:beforeAutospacing="0" w:after="0" w:afterAutospacing="0"/>
        <w:jc w:val="both"/>
        <w:textAlignment w:val="baseline"/>
        <w:rPr>
          <w:rFonts w:ascii="Arial" w:eastAsiaTheme="minorHAnsi" w:hAnsi="Arial" w:cs="Arial"/>
          <w:b/>
          <w:lang w:eastAsia="en-US"/>
        </w:rPr>
      </w:pPr>
      <w:r w:rsidRPr="003744F3">
        <w:rPr>
          <w:rFonts w:ascii="Arial" w:eastAsiaTheme="minorHAnsi" w:hAnsi="Arial" w:cs="Arial"/>
          <w:b/>
          <w:lang w:eastAsia="en-US"/>
        </w:rPr>
        <w:t>Funding</w:t>
      </w:r>
    </w:p>
    <w:p w14:paraId="0C46231E" w14:textId="77777777" w:rsidR="003744F3" w:rsidRDefault="003744F3" w:rsidP="000C7EEA">
      <w:pPr>
        <w:pStyle w:val="paragraph"/>
        <w:spacing w:before="0" w:beforeAutospacing="0" w:after="0" w:afterAutospacing="0"/>
        <w:jc w:val="both"/>
        <w:textAlignment w:val="baseline"/>
        <w:rPr>
          <w:rFonts w:ascii="Arial" w:eastAsiaTheme="minorHAnsi" w:hAnsi="Arial" w:cs="Arial"/>
          <w:lang w:eastAsia="en-US"/>
        </w:rPr>
      </w:pPr>
    </w:p>
    <w:p w14:paraId="79BDDD75" w14:textId="62D6E825" w:rsidR="003744F3" w:rsidRDefault="008B7589" w:rsidP="008A3678">
      <w:pPr>
        <w:pStyle w:val="paragraph"/>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t>Business cases will be scrutinised through the usual process with additional scrutiny of the Net Zero Carbon element.</w:t>
      </w:r>
      <w:r w:rsidR="00F5467B">
        <w:rPr>
          <w:rFonts w:ascii="Arial" w:eastAsiaTheme="minorHAnsi" w:hAnsi="Arial" w:cs="Arial"/>
          <w:lang w:eastAsia="en-US"/>
        </w:rPr>
        <w:t xml:space="preserve">  Projects will also be required to regularly monitor and review the building</w:t>
      </w:r>
      <w:r w:rsidR="004E4C57">
        <w:rPr>
          <w:rFonts w:ascii="Arial" w:eastAsiaTheme="minorHAnsi" w:hAnsi="Arial" w:cs="Arial"/>
          <w:lang w:eastAsia="en-US"/>
        </w:rPr>
        <w:t>’s</w:t>
      </w:r>
      <w:r w:rsidR="00F5467B">
        <w:rPr>
          <w:rFonts w:ascii="Arial" w:eastAsiaTheme="minorHAnsi" w:hAnsi="Arial" w:cs="Arial"/>
          <w:lang w:eastAsia="en-US"/>
        </w:rPr>
        <w:t xml:space="preserve"> performance over a five year period reporting any lessons learned during the process to the </w:t>
      </w:r>
      <w:r w:rsidR="00E95239">
        <w:rPr>
          <w:rFonts w:ascii="Arial" w:eastAsiaTheme="minorHAnsi" w:hAnsi="Arial" w:cs="Arial"/>
          <w:lang w:eastAsia="en-US"/>
        </w:rPr>
        <w:t>Programme</w:t>
      </w:r>
      <w:r w:rsidR="00F5467B">
        <w:rPr>
          <w:rFonts w:ascii="Arial" w:eastAsiaTheme="minorHAnsi" w:hAnsi="Arial" w:cs="Arial"/>
          <w:lang w:eastAsia="en-US"/>
        </w:rPr>
        <w:t xml:space="preserve"> team.</w:t>
      </w:r>
    </w:p>
    <w:p w14:paraId="03E5CE1D" w14:textId="77777777" w:rsidR="008B7589" w:rsidRDefault="008B7589" w:rsidP="008A3678">
      <w:pPr>
        <w:pStyle w:val="paragraph"/>
        <w:spacing w:before="0" w:beforeAutospacing="0" w:after="0" w:afterAutospacing="0"/>
        <w:textAlignment w:val="baseline"/>
        <w:rPr>
          <w:rFonts w:ascii="Arial" w:eastAsiaTheme="minorHAnsi" w:hAnsi="Arial" w:cs="Arial"/>
          <w:lang w:eastAsia="en-US"/>
        </w:rPr>
      </w:pPr>
    </w:p>
    <w:p w14:paraId="2220E4B6" w14:textId="1468DCB8" w:rsidR="008B7589" w:rsidRDefault="00067E62" w:rsidP="008A3678">
      <w:pPr>
        <w:pStyle w:val="paragraph"/>
        <w:spacing w:before="0" w:beforeAutospacing="0" w:after="0" w:afterAutospacing="0"/>
        <w:textAlignment w:val="baseline"/>
        <w:rPr>
          <w:rFonts w:ascii="Arial" w:eastAsiaTheme="minorHAnsi" w:hAnsi="Arial" w:cs="Arial"/>
          <w:vertAlign w:val="superscript"/>
          <w:lang w:eastAsia="en-US"/>
        </w:rPr>
      </w:pPr>
      <w:r>
        <w:rPr>
          <w:rFonts w:ascii="Arial" w:eastAsiaTheme="minorHAnsi" w:hAnsi="Arial" w:cs="Arial"/>
          <w:lang w:eastAsia="en-US"/>
        </w:rPr>
        <w:t xml:space="preserve">Business cases providing assurance of Net Zero Carbon in operation and a meeting </w:t>
      </w:r>
      <w:proofErr w:type="gramStart"/>
      <w:r>
        <w:rPr>
          <w:rFonts w:ascii="Arial" w:eastAsiaTheme="minorHAnsi" w:hAnsi="Arial" w:cs="Arial"/>
          <w:lang w:eastAsia="en-US"/>
        </w:rPr>
        <w:t>the</w:t>
      </w:r>
      <w:proofErr w:type="gramEnd"/>
      <w:r>
        <w:rPr>
          <w:rFonts w:ascii="Arial" w:eastAsiaTheme="minorHAnsi" w:hAnsi="Arial" w:cs="Arial"/>
          <w:lang w:eastAsia="en-US"/>
        </w:rPr>
        <w:t xml:space="preserve"> embodied carbon target will be eligible for additional funding in line with the current benchmark </w:t>
      </w:r>
      <w:r>
        <w:rPr>
          <w:rFonts w:ascii="Arial" w:hAnsi="Arial" w:cs="Arial"/>
        </w:rPr>
        <w:t>(see Annex 9 Size and Cost Standard)</w:t>
      </w:r>
      <w:r>
        <w:rPr>
          <w:rFonts w:ascii="Arial" w:eastAsiaTheme="minorHAnsi" w:hAnsi="Arial" w:cs="Arial"/>
          <w:lang w:eastAsia="en-US"/>
        </w:rPr>
        <w:t xml:space="preserve"> at 100% intervention rate. </w:t>
      </w:r>
    </w:p>
    <w:p w14:paraId="149844F6" w14:textId="68322E13" w:rsidR="00D7627A" w:rsidRDefault="00D7627A" w:rsidP="008A3678">
      <w:pPr>
        <w:pStyle w:val="paragraph"/>
        <w:spacing w:before="0" w:beforeAutospacing="0" w:after="0" w:afterAutospacing="0"/>
        <w:textAlignment w:val="baseline"/>
        <w:rPr>
          <w:rFonts w:ascii="Arial" w:eastAsiaTheme="minorHAnsi" w:hAnsi="Arial" w:cs="Arial"/>
          <w:lang w:eastAsia="en-US"/>
        </w:rPr>
      </w:pPr>
      <w:bookmarkStart w:id="0" w:name="_GoBack"/>
      <w:bookmarkEnd w:id="0"/>
    </w:p>
    <w:p w14:paraId="309A516F" w14:textId="77777777" w:rsidR="00D7627A" w:rsidRPr="00D7627A" w:rsidRDefault="00D7627A" w:rsidP="008A3678">
      <w:pPr>
        <w:pStyle w:val="paragraph"/>
        <w:spacing w:before="0" w:beforeAutospacing="0" w:after="0" w:afterAutospacing="0"/>
        <w:textAlignment w:val="baseline"/>
        <w:rPr>
          <w:rFonts w:ascii="Arial" w:eastAsiaTheme="minorHAnsi" w:hAnsi="Arial" w:cs="Arial"/>
          <w:lang w:eastAsia="en-US"/>
        </w:rPr>
      </w:pPr>
    </w:p>
    <w:sectPr w:rsidR="00D7627A" w:rsidRPr="00D76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8C2B" w14:textId="77777777" w:rsidR="00B419C2" w:rsidRDefault="00B419C2" w:rsidP="000C7EEA">
      <w:pPr>
        <w:spacing w:after="0" w:line="240" w:lineRule="auto"/>
      </w:pPr>
      <w:r>
        <w:separator/>
      </w:r>
    </w:p>
  </w:endnote>
  <w:endnote w:type="continuationSeparator" w:id="0">
    <w:p w14:paraId="052FB1C0" w14:textId="77777777" w:rsidR="00B419C2" w:rsidRDefault="00B419C2" w:rsidP="000C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D1F31" w14:textId="77777777" w:rsidR="00B419C2" w:rsidRDefault="00B419C2" w:rsidP="000C7EEA">
      <w:pPr>
        <w:spacing w:after="0" w:line="240" w:lineRule="auto"/>
      </w:pPr>
      <w:r>
        <w:separator/>
      </w:r>
    </w:p>
  </w:footnote>
  <w:footnote w:type="continuationSeparator" w:id="0">
    <w:p w14:paraId="337BEEDE" w14:textId="77777777" w:rsidR="00B419C2" w:rsidRDefault="00B419C2" w:rsidP="000C7EEA">
      <w:pPr>
        <w:spacing w:after="0" w:line="240" w:lineRule="auto"/>
      </w:pPr>
      <w:r>
        <w:continuationSeparator/>
      </w:r>
    </w:p>
  </w:footnote>
  <w:footnote w:id="1">
    <w:p w14:paraId="357A6E0B" w14:textId="77777777" w:rsidR="000567A6" w:rsidRDefault="000567A6" w:rsidP="000567A6">
      <w:pPr>
        <w:pStyle w:val="FootnoteText"/>
        <w:rPr>
          <w:lang w:val="en-US" w:eastAsia="en-US"/>
        </w:rPr>
      </w:pPr>
      <w:r>
        <w:rPr>
          <w:rStyle w:val="FootnoteReference"/>
        </w:rPr>
        <w:t>[1]</w:t>
      </w:r>
      <w:r>
        <w:t xml:space="preserve"> </w:t>
      </w:r>
      <w:hyperlink r:id="rId1" w:history="1">
        <w:r>
          <w:rPr>
            <w:rStyle w:val="Hyperlink"/>
          </w:rPr>
          <w:t>https://www.ukgbc.org/wp-content/uploads/2019/04/Net-Zero-Carbon-Buildings-A-framework-definition.pdf</w:t>
        </w:r>
      </w:hyperlink>
      <w:r>
        <w:t xml:space="preserve"> p.22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23"/>
    <w:rsid w:val="00043DC9"/>
    <w:rsid w:val="000567A6"/>
    <w:rsid w:val="00067E62"/>
    <w:rsid w:val="000C7EEA"/>
    <w:rsid w:val="002B0E8A"/>
    <w:rsid w:val="002E474E"/>
    <w:rsid w:val="003744F3"/>
    <w:rsid w:val="003B1FA6"/>
    <w:rsid w:val="003C1A6D"/>
    <w:rsid w:val="003C77D0"/>
    <w:rsid w:val="00404DAC"/>
    <w:rsid w:val="004E4C57"/>
    <w:rsid w:val="005B436A"/>
    <w:rsid w:val="005F7E23"/>
    <w:rsid w:val="006816D9"/>
    <w:rsid w:val="00713827"/>
    <w:rsid w:val="007B6F19"/>
    <w:rsid w:val="007E1C5C"/>
    <w:rsid w:val="007F1B4F"/>
    <w:rsid w:val="008A3678"/>
    <w:rsid w:val="008B7589"/>
    <w:rsid w:val="00907F5A"/>
    <w:rsid w:val="0093634D"/>
    <w:rsid w:val="0098211D"/>
    <w:rsid w:val="009C56C7"/>
    <w:rsid w:val="00AD7EC8"/>
    <w:rsid w:val="00B419C2"/>
    <w:rsid w:val="00B9591A"/>
    <w:rsid w:val="00C60A9F"/>
    <w:rsid w:val="00D06BB7"/>
    <w:rsid w:val="00D7627A"/>
    <w:rsid w:val="00E01AC7"/>
    <w:rsid w:val="00E95239"/>
    <w:rsid w:val="00EC7191"/>
    <w:rsid w:val="00ED7E23"/>
    <w:rsid w:val="00EF6F35"/>
    <w:rsid w:val="00F5467B"/>
    <w:rsid w:val="00FC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CE41"/>
  <w15:chartTrackingRefBased/>
  <w15:docId w15:val="{AFCACBA2-A516-4C94-9A98-B39946CA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7E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C7EEA"/>
  </w:style>
  <w:style w:type="character" w:customStyle="1" w:styleId="normaltextrun">
    <w:name w:val="normaltextrun"/>
    <w:basedOn w:val="DefaultParagraphFont"/>
    <w:rsid w:val="000C7EEA"/>
  </w:style>
  <w:style w:type="paragraph" w:styleId="FootnoteText">
    <w:name w:val="footnote text"/>
    <w:basedOn w:val="Normal"/>
    <w:link w:val="FootnoteTextChar"/>
    <w:uiPriority w:val="99"/>
    <w:semiHidden/>
    <w:unhideWhenUsed/>
    <w:rsid w:val="000C7EEA"/>
    <w:pPr>
      <w:spacing w:after="0" w:line="240" w:lineRule="auto"/>
    </w:pPr>
    <w:rPr>
      <w:rFonts w:ascii="Calibri" w:hAnsi="Calibri" w:cs="Calibri"/>
      <w:sz w:val="20"/>
      <w:szCs w:val="20"/>
      <w:lang w:eastAsia="en-GB"/>
    </w:rPr>
  </w:style>
  <w:style w:type="character" w:customStyle="1" w:styleId="FootnoteTextChar">
    <w:name w:val="Footnote Text Char"/>
    <w:basedOn w:val="DefaultParagraphFont"/>
    <w:link w:val="FootnoteText"/>
    <w:uiPriority w:val="99"/>
    <w:semiHidden/>
    <w:rsid w:val="000C7EEA"/>
    <w:rPr>
      <w:rFonts w:ascii="Calibri" w:hAnsi="Calibri" w:cs="Calibri"/>
      <w:sz w:val="20"/>
      <w:szCs w:val="20"/>
      <w:lang w:eastAsia="en-GB"/>
    </w:rPr>
  </w:style>
  <w:style w:type="character" w:styleId="FootnoteReference">
    <w:name w:val="footnote reference"/>
    <w:basedOn w:val="DefaultParagraphFont"/>
    <w:uiPriority w:val="99"/>
    <w:semiHidden/>
    <w:unhideWhenUsed/>
    <w:rsid w:val="000C7EEA"/>
    <w:rPr>
      <w:vertAlign w:val="superscript"/>
    </w:rPr>
  </w:style>
  <w:style w:type="character" w:styleId="CommentReference">
    <w:name w:val="annotation reference"/>
    <w:basedOn w:val="DefaultParagraphFont"/>
    <w:uiPriority w:val="99"/>
    <w:semiHidden/>
    <w:unhideWhenUsed/>
    <w:rsid w:val="008B7589"/>
    <w:rPr>
      <w:sz w:val="16"/>
      <w:szCs w:val="16"/>
    </w:rPr>
  </w:style>
  <w:style w:type="paragraph" w:styleId="CommentText">
    <w:name w:val="annotation text"/>
    <w:basedOn w:val="Normal"/>
    <w:link w:val="CommentTextChar"/>
    <w:uiPriority w:val="99"/>
    <w:semiHidden/>
    <w:unhideWhenUsed/>
    <w:rsid w:val="008B7589"/>
    <w:pPr>
      <w:spacing w:line="240" w:lineRule="auto"/>
    </w:pPr>
    <w:rPr>
      <w:sz w:val="20"/>
      <w:szCs w:val="20"/>
    </w:rPr>
  </w:style>
  <w:style w:type="character" w:customStyle="1" w:styleId="CommentTextChar">
    <w:name w:val="Comment Text Char"/>
    <w:basedOn w:val="DefaultParagraphFont"/>
    <w:link w:val="CommentText"/>
    <w:uiPriority w:val="99"/>
    <w:semiHidden/>
    <w:rsid w:val="008B7589"/>
    <w:rPr>
      <w:sz w:val="20"/>
      <w:szCs w:val="20"/>
    </w:rPr>
  </w:style>
  <w:style w:type="paragraph" w:styleId="CommentSubject">
    <w:name w:val="annotation subject"/>
    <w:basedOn w:val="CommentText"/>
    <w:next w:val="CommentText"/>
    <w:link w:val="CommentSubjectChar"/>
    <w:uiPriority w:val="99"/>
    <w:semiHidden/>
    <w:unhideWhenUsed/>
    <w:rsid w:val="008B7589"/>
    <w:rPr>
      <w:b/>
      <w:bCs/>
    </w:rPr>
  </w:style>
  <w:style w:type="character" w:customStyle="1" w:styleId="CommentSubjectChar">
    <w:name w:val="Comment Subject Char"/>
    <w:basedOn w:val="CommentTextChar"/>
    <w:link w:val="CommentSubject"/>
    <w:uiPriority w:val="99"/>
    <w:semiHidden/>
    <w:rsid w:val="008B7589"/>
    <w:rPr>
      <w:b/>
      <w:bCs/>
      <w:sz w:val="20"/>
      <w:szCs w:val="20"/>
    </w:rPr>
  </w:style>
  <w:style w:type="paragraph" w:styleId="BalloonText">
    <w:name w:val="Balloon Text"/>
    <w:basedOn w:val="Normal"/>
    <w:link w:val="BalloonTextChar"/>
    <w:uiPriority w:val="99"/>
    <w:semiHidden/>
    <w:unhideWhenUsed/>
    <w:rsid w:val="008B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89"/>
    <w:rPr>
      <w:rFonts w:ascii="Segoe UI" w:hAnsi="Segoe UI" w:cs="Segoe UI"/>
      <w:sz w:val="18"/>
      <w:szCs w:val="18"/>
    </w:rPr>
  </w:style>
  <w:style w:type="character" w:styleId="Hyperlink">
    <w:name w:val="Hyperlink"/>
    <w:basedOn w:val="DefaultParagraphFont"/>
    <w:uiPriority w:val="99"/>
    <w:semiHidden/>
    <w:unhideWhenUsed/>
    <w:rsid w:val="000567A6"/>
    <w:rPr>
      <w:color w:val="0563C1"/>
      <w:u w:val="single"/>
    </w:rPr>
  </w:style>
  <w:style w:type="table" w:styleId="GridTable1Light">
    <w:name w:val="Grid Table 1 Light"/>
    <w:basedOn w:val="TableNormal"/>
    <w:uiPriority w:val="46"/>
    <w:rsid w:val="00067E62"/>
    <w:pPr>
      <w:spacing w:after="0" w:line="240" w:lineRule="auto"/>
    </w:pPr>
    <w:rPr>
      <w:rFonts w:eastAsiaTheme="minorEastAsia"/>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customXml" Target="/customXML/item5.xml" Id="Rd5012c951d534a1e" /></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s%3A%2F%2Fwww.ukgbc.org%2Fwp-content%2Fuploads%2F2019%2F04%2FNet-Zero-Carbon-Buildings-A-framework-definition.pdf&amp;data=04%7C01%7CAlwyn.Jones001%40gov.wales%7C3b622b8b031843e88b1108d8bca41a89%7Ca2cc36c592804ae78887d06dab89216b%7C0%7C0%7C637466760285525485%7CUnknown%7CTWFpbGZsb3d8eyJWIjoiMC4wLjAwMDAiLCJQIjoiV2luMzIiLCJBTiI6Ik1haWwiLCJXVCI6Mn0%3D%7C1000&amp;sdata=Gybech2YruD6TBhCG7oi%2BMHp%2F6Y%2Ff2zjfNzti%2B8kHk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A37855383</value>
    </field>
    <field name="Objective-Title">
      <value order="0">Annex 16a - Sustainable Communities for Learning Net Zero Funding Conditions</value>
    </field>
    <field name="Objective-Description">
      <value order="0"/>
    </field>
    <field name="Objective-CreationStamp">
      <value order="0">2021-12-17T11:37:03Z</value>
    </field>
    <field name="Objective-IsApproved">
      <value order="0">false</value>
    </field>
    <field name="Objective-IsPublished">
      <value order="0">true</value>
    </field>
    <field name="Objective-DatePublished">
      <value order="0">2022-01-21T16:19:52Z</value>
    </field>
    <field name="Objective-ModificationStamp">
      <value order="0">2022-01-21T16:19:52Z</value>
    </field>
    <field name="Objective-Owner">
      <value order="0">Jones, Alwyn (EPS - Education Directorate)</value>
    </field>
    <field name="Objective-Path">
      <value order="0">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Published</value>
    </field>
    <field name="Objective-VersionId">
      <value order="0">vA74462259</value>
    </field>
    <field name="Objective-Version">
      <value order="0">2.0</value>
    </field>
    <field name="Objective-VersionNumber">
      <value order="0">3</value>
    </field>
    <field name="Objective-VersionComment">
      <value order="0"/>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2021-12-17T00:00:00Z</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e0ac28002a463082d89b57b55c3a17d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deb66d43a6ea3481c3ebd0a6ad1f909"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4E23685A-99DE-48E3-9DB0-B9B05268B351}">
  <ds:schemaRefs>
    <ds:schemaRef ds:uri="http://schemas.microsoft.com/sharepoint/v3/contenttype/forms"/>
  </ds:schemaRefs>
</ds:datastoreItem>
</file>

<file path=customXml/itemProps3.xml><?xml version="1.0" encoding="utf-8"?>
<ds:datastoreItem xmlns:ds="http://schemas.openxmlformats.org/officeDocument/2006/customXml" ds:itemID="{7463BD99-BB96-4231-9952-4D838AF0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023A9-6F00-440A-B450-A089A6ADE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Alwyn (EPS - Education Directorate)</dc:creator>
  <cp:keywords/>
  <dc:description/>
  <cp:lastModifiedBy>Jones, Alwyn (EPS - Education Directorate)</cp:lastModifiedBy>
  <cp:revision>3</cp:revision>
  <dcterms:created xsi:type="dcterms:W3CDTF">2021-12-17T11:37:00Z</dcterms:created>
  <dcterms:modified xsi:type="dcterms:W3CDTF">2022-01-21T16:19:00Z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A37855383</vt:lpwstr>
  </property>
  <property fmtid="{D5CDD505-2E9C-101B-9397-08002B2CF9AE}" pid="4" name="Objective-Title">
    <vt:lpwstr>Annex 16a - Sustainable Communities for Learning Net Zero Funding Conditions</vt:lpwstr>
  </property>
  <property fmtid="{D5CDD505-2E9C-101B-9397-08002B2CF9AE}" pid="5" name="Objective-Description">
    <vt:lpwstr/>
  </property>
  <property fmtid="{D5CDD505-2E9C-101B-9397-08002B2CF9AE}" pid="6" name="Objective-CreationStamp">
    <vt:filetime>2021-12-17T11:37:03Z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2022-01-21T16:19:52Z</vt:filetime>
  </property>
  <property fmtid="{D5CDD505-2E9C-101B-9397-08002B2CF9AE}" pid="10" name="Objective-ModificationStamp">
    <vt:filetime>2022-01-21T16:19:52Z</vt:filetime>
  </property>
  <property fmtid="{D5CDD505-2E9C-101B-9397-08002B2CF9AE}" pid="11" name="Objective-Owner">
    <vt:lpwstr>Jones, Alwyn (EPS - Education Directorate)</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13" name="Objective-Parent">
    <vt:lpwstr>1. SCfL - Business Case Guidance - 2022</vt:lpwstr>
  </property>
  <property fmtid="{D5CDD505-2E9C-101B-9397-08002B2CF9AE}" pid="14" name="Objective-State">
    <vt:lpwstr>Published</vt:lpwstr>
  </property>
  <property fmtid="{D5CDD505-2E9C-101B-9397-08002B2CF9AE}" pid="15" name="Objective-VersionId">
    <vt:lpwstr>vA74462259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qA1503362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2021-12-17T00:00:00Z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