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A794" w14:textId="77777777" w:rsidR="00792948" w:rsidRPr="007630A1" w:rsidRDefault="00792948" w:rsidP="00792948">
      <w:pPr>
        <w:spacing w:after="0" w:line="240" w:lineRule="auto"/>
        <w:jc w:val="center"/>
        <w:rPr>
          <w:rFonts w:ascii="Arial" w:hAnsi="Arial" w:cs="Arial"/>
          <w:b/>
          <w:sz w:val="24"/>
          <w:szCs w:val="24"/>
        </w:rPr>
      </w:pPr>
      <w:bookmarkStart w:id="0" w:name="_GoBack"/>
      <w:bookmarkEnd w:id="0"/>
      <w:r w:rsidRPr="007630A1">
        <w:rPr>
          <w:rFonts w:ascii="Arial" w:hAnsi="Arial" w:cs="Arial"/>
          <w:b/>
          <w:sz w:val="24"/>
          <w:szCs w:val="24"/>
        </w:rPr>
        <w:t>21-DAY REVIEWS OF MEASURES TO MANAGE COVID-19 IN WALES</w:t>
      </w:r>
    </w:p>
    <w:p w14:paraId="7BEC7C47" w14:textId="600D070F" w:rsidR="00792948" w:rsidRPr="007630A1" w:rsidRDefault="00867577" w:rsidP="00792948">
      <w:pPr>
        <w:spacing w:after="0" w:line="240" w:lineRule="auto"/>
        <w:jc w:val="center"/>
        <w:rPr>
          <w:rFonts w:ascii="Arial" w:hAnsi="Arial" w:cs="Arial"/>
          <w:b/>
          <w:sz w:val="24"/>
          <w:szCs w:val="24"/>
        </w:rPr>
      </w:pPr>
      <w:r>
        <w:rPr>
          <w:rFonts w:ascii="Arial" w:hAnsi="Arial" w:cs="Arial"/>
          <w:b/>
          <w:sz w:val="24"/>
          <w:szCs w:val="24"/>
        </w:rPr>
        <w:t>6 AUGUST UPDATE TO 30 JULY</w:t>
      </w:r>
      <w:r w:rsidR="00792948" w:rsidRPr="007630A1">
        <w:rPr>
          <w:rFonts w:ascii="Arial" w:hAnsi="Arial" w:cs="Arial"/>
          <w:b/>
          <w:sz w:val="24"/>
          <w:szCs w:val="24"/>
        </w:rPr>
        <w:t xml:space="preserve"> REVIEW: SUMMARY EQUALITY IMPACT ASSESSMENT</w:t>
      </w:r>
    </w:p>
    <w:p w14:paraId="3A68B3BE" w14:textId="77777777" w:rsidR="00C944D6" w:rsidRPr="007630A1" w:rsidRDefault="00C944D6">
      <w:pPr>
        <w:rPr>
          <w:rFonts w:ascii="Arial" w:hAnsi="Arial" w:cs="Arial"/>
          <w:sz w:val="24"/>
          <w:szCs w:val="24"/>
        </w:rPr>
      </w:pPr>
    </w:p>
    <w:p w14:paraId="5DC454EA" w14:textId="7D6DF7A3" w:rsidR="00792948" w:rsidRPr="006026E4" w:rsidRDefault="00792948">
      <w:pPr>
        <w:rPr>
          <w:rFonts w:ascii="Arial" w:hAnsi="Arial" w:cs="Arial"/>
          <w:b/>
          <w:sz w:val="24"/>
          <w:szCs w:val="24"/>
        </w:rPr>
      </w:pPr>
      <w:r w:rsidRPr="006026E4">
        <w:rPr>
          <w:rFonts w:ascii="Arial" w:hAnsi="Arial" w:cs="Arial"/>
          <w:b/>
          <w:sz w:val="24"/>
          <w:szCs w:val="24"/>
        </w:rPr>
        <w:t>Introduction</w:t>
      </w:r>
    </w:p>
    <w:p w14:paraId="335AD30A" w14:textId="322383C7" w:rsidR="00A66246" w:rsidRPr="00D8137F" w:rsidRDefault="00D8137F" w:rsidP="00D8137F">
      <w:pPr>
        <w:pStyle w:val="ParagraffRhestr"/>
        <w:numPr>
          <w:ilvl w:val="0"/>
          <w:numId w:val="17"/>
        </w:numPr>
      </w:pPr>
      <w:r>
        <w:t>I</w:t>
      </w:r>
      <w:r w:rsidR="00E713E7" w:rsidRPr="00D8137F">
        <w:t>n the sixth review of lockdown restrictions on 30 July, Welsh Ministers continued to consider what easements could be prioritised to mitigate against the widespread harms caused by COVID-19 and to benefit Welsh citizens.</w:t>
      </w:r>
    </w:p>
    <w:p w14:paraId="4F01A9B3" w14:textId="77777777" w:rsidR="00A66246" w:rsidRPr="00C80C2D" w:rsidRDefault="00A66246" w:rsidP="00C80C2D">
      <w:pPr>
        <w:pStyle w:val="ParagraffRhestr"/>
        <w:ind w:left="360"/>
        <w:rPr>
          <w:highlight w:val="yellow"/>
        </w:rPr>
      </w:pPr>
    </w:p>
    <w:p w14:paraId="6D2F8F26" w14:textId="1DD11A24" w:rsidR="00E12EAD" w:rsidRDefault="00867577" w:rsidP="006F423C">
      <w:pPr>
        <w:pStyle w:val="ParagraffRhestr"/>
        <w:numPr>
          <w:ilvl w:val="0"/>
          <w:numId w:val="17"/>
        </w:numPr>
      </w:pPr>
      <w:r>
        <w:t xml:space="preserve">A summary EIA was produced at the time, however as </w:t>
      </w:r>
      <w:r w:rsidR="006F423C" w:rsidRPr="006F423C">
        <w:t>the reopening</w:t>
      </w:r>
      <w:r w:rsidR="00E12EAD">
        <w:t xml:space="preserve"> of</w:t>
      </w:r>
      <w:r w:rsidR="006F423C" w:rsidRPr="006F423C">
        <w:t xml:space="preserve"> indoor </w:t>
      </w:r>
      <w:r w:rsidR="00860837">
        <w:t>play areas</w:t>
      </w:r>
      <w:r w:rsidR="006F423C" w:rsidRPr="006F423C">
        <w:t>,</w:t>
      </w:r>
      <w:r w:rsidR="00E12EAD">
        <w:t xml:space="preserve"> gyms,</w:t>
      </w:r>
      <w:r w:rsidR="006F423C" w:rsidRPr="006F423C">
        <w:t xml:space="preserve"> leisure centres, swimming pools, </w:t>
      </w:r>
      <w:r w:rsidR="00E12EAD">
        <w:t>spas (except for saunas and steam rooms) and</w:t>
      </w:r>
      <w:r w:rsidR="006F423C" w:rsidRPr="006F423C">
        <w:t xml:space="preserve"> indoor fitness centres</w:t>
      </w:r>
      <w:r>
        <w:t xml:space="preserve"> had</w:t>
      </w:r>
      <w:r w:rsidR="006F423C">
        <w:t xml:space="preserve"> </w:t>
      </w:r>
      <w:r>
        <w:t>not yet been confirmed, this supplementary summary EIA has been produced.</w:t>
      </w:r>
      <w:r w:rsidR="00E12EAD">
        <w:t xml:space="preserve"> </w:t>
      </w:r>
    </w:p>
    <w:p w14:paraId="7730606D" w14:textId="77777777" w:rsidR="00E12EAD" w:rsidRDefault="00E12EAD" w:rsidP="00E12EAD">
      <w:pPr>
        <w:pStyle w:val="ParagraffRhestr"/>
      </w:pPr>
    </w:p>
    <w:p w14:paraId="489B3BAF" w14:textId="69E40F65" w:rsidR="006F423C" w:rsidRDefault="00E12EAD" w:rsidP="006F423C">
      <w:pPr>
        <w:pStyle w:val="ParagraffRhestr"/>
        <w:numPr>
          <w:ilvl w:val="0"/>
          <w:numId w:val="17"/>
        </w:numPr>
      </w:pPr>
      <w:r w:rsidRPr="00E12EAD">
        <w:t>In addition, this EIA covers the decision by the Welsh Ministers for personal training sessions and organised physical exercise activities to</w:t>
      </w:r>
      <w:r>
        <w:t xml:space="preserve"> be exempt from the r</w:t>
      </w:r>
      <w:r w:rsidRPr="00E12EAD">
        <w:t>egulations on indoor gatherings, specifying that 30 people is the maximum</w:t>
      </w:r>
      <w:r>
        <w:t>.</w:t>
      </w:r>
    </w:p>
    <w:p w14:paraId="0BCE0C0B" w14:textId="77777777" w:rsidR="006F423C" w:rsidRPr="006F423C" w:rsidRDefault="006F423C" w:rsidP="006F423C">
      <w:pPr>
        <w:pStyle w:val="ParagraffRhestr"/>
        <w:ind w:left="360"/>
      </w:pPr>
    </w:p>
    <w:p w14:paraId="64FA32C6" w14:textId="77777777" w:rsidR="00792948" w:rsidRPr="00C80C2D" w:rsidRDefault="00792948">
      <w:pPr>
        <w:rPr>
          <w:rFonts w:ascii="Arial" w:hAnsi="Arial" w:cs="Arial"/>
          <w:b/>
          <w:sz w:val="24"/>
          <w:szCs w:val="24"/>
        </w:rPr>
      </w:pPr>
      <w:r w:rsidRPr="00C80C2D">
        <w:rPr>
          <w:rFonts w:ascii="Arial" w:hAnsi="Arial" w:cs="Arial"/>
          <w:b/>
          <w:sz w:val="24"/>
          <w:szCs w:val="24"/>
        </w:rPr>
        <w:t xml:space="preserve">Legislative background </w:t>
      </w:r>
    </w:p>
    <w:p w14:paraId="15AE8BAC" w14:textId="56ECBE2C" w:rsidR="00E713E7" w:rsidRPr="00C80C2D" w:rsidRDefault="00E713E7" w:rsidP="00E713E7">
      <w:pPr>
        <w:pStyle w:val="ParagraffRhestr"/>
        <w:numPr>
          <w:ilvl w:val="0"/>
          <w:numId w:val="17"/>
        </w:numPr>
      </w:pPr>
      <w:r w:rsidRPr="000D6338">
        <w:t>The Health Protection (Coronavirus Restrictions) (Wales) Regulations 2020 came into force on 26 March.</w:t>
      </w:r>
      <w:r>
        <w:t xml:space="preserve"> These were replaced by The Health Protection (Coronavirus Restrictions) (No. 2) (Wales) Regulations 2020 on 11 July. </w:t>
      </w:r>
      <w:r w:rsidRPr="000D6338">
        <w:t xml:space="preserve"> </w:t>
      </w:r>
      <w:r w:rsidRPr="000D6338">
        <w:rPr>
          <w:color w:val="1F1F1F"/>
          <w:lang w:val="en"/>
        </w:rPr>
        <w:t xml:space="preserve">A consolidated version of the </w:t>
      </w:r>
      <w:r>
        <w:rPr>
          <w:color w:val="1F1F1F"/>
          <w:lang w:val="en"/>
        </w:rPr>
        <w:t xml:space="preserve">most recent </w:t>
      </w:r>
      <w:r w:rsidRPr="000D6338">
        <w:rPr>
          <w:color w:val="1F1F1F"/>
          <w:lang w:val="en"/>
        </w:rPr>
        <w:t xml:space="preserve">Regulations can be found </w:t>
      </w:r>
      <w:hyperlink r:id="rId12" w:history="1">
        <w:r w:rsidRPr="000D6338">
          <w:rPr>
            <w:rStyle w:val="Hyperddolen"/>
            <w:lang w:val="en"/>
          </w:rPr>
          <w:t>here</w:t>
        </w:r>
      </w:hyperlink>
      <w:r w:rsidRPr="000D6338">
        <w:rPr>
          <w:color w:val="1F1F1F"/>
          <w:lang w:val="en"/>
        </w:rPr>
        <w:t>.</w:t>
      </w:r>
    </w:p>
    <w:p w14:paraId="5348756D" w14:textId="77777777" w:rsidR="00E713E7" w:rsidRPr="000D6338" w:rsidRDefault="00E713E7" w:rsidP="00C80C2D">
      <w:pPr>
        <w:pStyle w:val="ParagraffRhestr"/>
        <w:ind w:left="360"/>
      </w:pPr>
    </w:p>
    <w:p w14:paraId="495CCBE4" w14:textId="64409984" w:rsidR="00583F14" w:rsidRPr="006026E4" w:rsidRDefault="00583F14" w:rsidP="006026E4">
      <w:pPr>
        <w:pStyle w:val="ParagraffRhestr"/>
        <w:numPr>
          <w:ilvl w:val="0"/>
          <w:numId w:val="17"/>
        </w:numPr>
      </w:pPr>
      <w:r w:rsidRPr="006026E4">
        <w:t xml:space="preserve">Regulation 3(2) requires Welsh Ministers to review the need for restrictions and requirements under the Regulations every 21 days. </w:t>
      </w:r>
      <w:r w:rsidR="00814801" w:rsidRPr="006026E4">
        <w:t xml:space="preserve"> The restrictions in place must be proportionate to the objective we are seeking to achieve by them.  When restrictions are no longer proportionate, Welsh Ministers are committed to amending or withdrawing them.  </w:t>
      </w:r>
      <w:r w:rsidRPr="006026E4">
        <w:t xml:space="preserve">The last review was completed on </w:t>
      </w:r>
      <w:r w:rsidR="00E713E7">
        <w:t>7 July</w:t>
      </w:r>
      <w:r w:rsidRPr="006026E4">
        <w:t xml:space="preserve">, and the next review will be required by </w:t>
      </w:r>
      <w:r w:rsidR="00814801" w:rsidRPr="006026E4">
        <w:t>30</w:t>
      </w:r>
      <w:r w:rsidRPr="006026E4">
        <w:t xml:space="preserve"> July 2020.</w:t>
      </w:r>
    </w:p>
    <w:p w14:paraId="4B00CEDB" w14:textId="3D42E0A3" w:rsidR="00792948" w:rsidRPr="006026E4" w:rsidRDefault="00792948" w:rsidP="00795EE7">
      <w:pPr>
        <w:spacing w:before="100" w:beforeAutospacing="1" w:after="100" w:afterAutospacing="1" w:line="240" w:lineRule="auto"/>
        <w:contextualSpacing/>
        <w:rPr>
          <w:rFonts w:ascii="Arial" w:hAnsi="Arial" w:cs="Arial"/>
          <w:b/>
          <w:sz w:val="24"/>
          <w:szCs w:val="24"/>
        </w:rPr>
      </w:pPr>
      <w:r w:rsidRPr="006026E4">
        <w:rPr>
          <w:rFonts w:ascii="Arial" w:hAnsi="Arial" w:cs="Arial"/>
          <w:b/>
          <w:sz w:val="24"/>
          <w:szCs w:val="24"/>
        </w:rPr>
        <w:t xml:space="preserve">Equality impact assessment of the measures </w:t>
      </w:r>
    </w:p>
    <w:p w14:paraId="751051E0" w14:textId="2AFFA006" w:rsidR="00AE5141" w:rsidRDefault="00AE5141" w:rsidP="00C80C2D">
      <w:pPr>
        <w:pStyle w:val="ParagraffRhestr"/>
        <w:numPr>
          <w:ilvl w:val="0"/>
          <w:numId w:val="17"/>
        </w:numPr>
      </w:pPr>
      <w:r>
        <w:t xml:space="preserve">The Welsh Government is fully committed to establishing a more prosperous, more equal and a greener Wales. In taking swift action to effectively slow and work towards stopping the spread of coronavirus, Welsh Ministers have remained mindful of the way in which some groups and communities have been hit harder than others by the virus and the restrictions imposed to control it.   </w:t>
      </w:r>
    </w:p>
    <w:p w14:paraId="5B0CDD8F" w14:textId="77777777" w:rsidR="00C80C2D" w:rsidRDefault="00C80C2D" w:rsidP="00C80C2D">
      <w:pPr>
        <w:pStyle w:val="ParagraffRhestr"/>
        <w:ind w:left="360"/>
      </w:pPr>
    </w:p>
    <w:p w14:paraId="1AF962F4" w14:textId="689F56D3" w:rsidR="00867577" w:rsidRDefault="00AE5141" w:rsidP="00867577">
      <w:pPr>
        <w:pStyle w:val="ParagraffRhestr"/>
        <w:numPr>
          <w:ilvl w:val="0"/>
          <w:numId w:val="17"/>
        </w:numPr>
      </w:pPr>
      <w:r w:rsidRPr="00C80C2D">
        <w:t>In considering the equality impacts of the proposals, Welsh Ministers have been clear any relaxation of the lockdown restrictions should not cause further harm.   The measures outlined above are considered to have positive impacts on economic and social wellbeing</w:t>
      </w:r>
      <w:r w:rsidR="00ED70B0">
        <w:t>.</w:t>
      </w:r>
    </w:p>
    <w:p w14:paraId="5395B694" w14:textId="77777777" w:rsidR="00867577" w:rsidRDefault="00867577" w:rsidP="00867577">
      <w:pPr>
        <w:pStyle w:val="ParagraffRhestr"/>
      </w:pPr>
    </w:p>
    <w:p w14:paraId="73AB3F9E" w14:textId="11F0C267" w:rsidR="00792948" w:rsidRPr="006026E4" w:rsidRDefault="00792948" w:rsidP="006026E4">
      <w:pPr>
        <w:rPr>
          <w:rFonts w:ascii="Arial" w:hAnsi="Arial" w:cs="Arial"/>
          <w:b/>
          <w:sz w:val="24"/>
          <w:szCs w:val="24"/>
        </w:rPr>
      </w:pPr>
      <w:r w:rsidRPr="006026E4">
        <w:rPr>
          <w:rFonts w:ascii="Arial" w:hAnsi="Arial" w:cs="Arial"/>
          <w:b/>
          <w:sz w:val="24"/>
          <w:szCs w:val="24"/>
        </w:rPr>
        <w:t xml:space="preserve">Additional considerations and other impact assessments </w:t>
      </w:r>
    </w:p>
    <w:p w14:paraId="2D8CFC4E" w14:textId="01B12A14" w:rsidR="006646C8" w:rsidRPr="006026E4" w:rsidRDefault="006646C8" w:rsidP="006026E4">
      <w:pPr>
        <w:keepNext/>
        <w:rPr>
          <w:rFonts w:ascii="Arial" w:hAnsi="Arial" w:cs="Arial"/>
          <w:bCs/>
          <w:i/>
          <w:color w:val="000000" w:themeColor="text1"/>
          <w:sz w:val="24"/>
          <w:szCs w:val="24"/>
        </w:rPr>
      </w:pPr>
      <w:r w:rsidRPr="006026E4">
        <w:rPr>
          <w:rFonts w:ascii="Arial" w:hAnsi="Arial" w:cs="Arial"/>
          <w:bCs/>
          <w:i/>
          <w:color w:val="000000" w:themeColor="text1"/>
          <w:sz w:val="24"/>
          <w:szCs w:val="24"/>
        </w:rPr>
        <w:lastRenderedPageBreak/>
        <w:t>European Convention on Human Rights (ECHR)</w:t>
      </w:r>
    </w:p>
    <w:p w14:paraId="04A7F319" w14:textId="2542DD16" w:rsidR="00C944D6" w:rsidRPr="006026E4" w:rsidRDefault="00C944D6" w:rsidP="006026E4">
      <w:pPr>
        <w:pStyle w:val="ParagraffRhestr"/>
        <w:keepNext/>
        <w:numPr>
          <w:ilvl w:val="0"/>
          <w:numId w:val="17"/>
        </w:numPr>
        <w:rPr>
          <w:bCs/>
          <w:i/>
          <w:color w:val="000000" w:themeColor="text1"/>
        </w:rPr>
      </w:pPr>
      <w:r w:rsidRPr="006026E4">
        <w:rPr>
          <w:bCs/>
          <w:color w:val="000000" w:themeColor="text1"/>
        </w:rPr>
        <w:t>The fundamental purpose of the lockdown restrictions have been to protect everyone’s right to life (Article 2 of the ECHR).   By restricting freedom of movement, the lockdown restrictions also infringed upon a range of other human rights on justifiable public health grounds.   However, the package of measures agreed for implementation following this review should mitigate some of the temporary infringements on wider human rights by promoting the following ECHR Articles:</w:t>
      </w:r>
    </w:p>
    <w:p w14:paraId="6A7C2540" w14:textId="77777777" w:rsidR="006026E4" w:rsidRPr="006026E4" w:rsidRDefault="006026E4" w:rsidP="006026E4">
      <w:pPr>
        <w:pStyle w:val="ParagraffRhestr"/>
        <w:keepNext/>
        <w:ind w:left="360"/>
        <w:rPr>
          <w:bCs/>
          <w:i/>
          <w:color w:val="000000" w:themeColor="text1"/>
        </w:rPr>
      </w:pPr>
    </w:p>
    <w:tbl>
      <w:tblPr>
        <w:tblW w:w="9072" w:type="dxa"/>
        <w:tblLayout w:type="fixed"/>
        <w:tblCellMar>
          <w:left w:w="10" w:type="dxa"/>
          <w:right w:w="10" w:type="dxa"/>
        </w:tblCellMar>
        <w:tblLook w:val="0000" w:firstRow="0" w:lastRow="0" w:firstColumn="0" w:lastColumn="0" w:noHBand="0" w:noVBand="0"/>
      </w:tblPr>
      <w:tblGrid>
        <w:gridCol w:w="1701"/>
        <w:gridCol w:w="7371"/>
      </w:tblGrid>
      <w:tr w:rsidR="00C944D6" w:rsidRPr="006026E4" w14:paraId="105080F7" w14:textId="77777777" w:rsidTr="00C944D6">
        <w:tc>
          <w:tcPr>
            <w:tcW w:w="170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4FAB4C16" w14:textId="77777777" w:rsidR="00C944D6" w:rsidRPr="006026E4" w:rsidRDefault="00C944D6" w:rsidP="006026E4">
            <w:pPr>
              <w:rPr>
                <w:rFonts w:ascii="Arial" w:hAnsi="Arial" w:cs="Arial"/>
                <w:b/>
                <w:sz w:val="24"/>
                <w:szCs w:val="24"/>
              </w:rPr>
            </w:pPr>
            <w:r w:rsidRPr="006026E4">
              <w:rPr>
                <w:rFonts w:ascii="Arial" w:hAnsi="Arial" w:cs="Arial"/>
                <w:b/>
                <w:sz w:val="24"/>
                <w:szCs w:val="24"/>
              </w:rPr>
              <w:t>Article 2</w:t>
            </w:r>
          </w:p>
        </w:tc>
        <w:tc>
          <w:tcPr>
            <w:tcW w:w="737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7992D05D" w14:textId="77777777" w:rsidR="00C944D6" w:rsidRPr="006026E4" w:rsidRDefault="00C944D6" w:rsidP="006026E4">
            <w:pPr>
              <w:rPr>
                <w:rFonts w:ascii="Arial" w:hAnsi="Arial" w:cs="Arial"/>
                <w:sz w:val="24"/>
                <w:szCs w:val="24"/>
              </w:rPr>
            </w:pPr>
            <w:r w:rsidRPr="006026E4">
              <w:rPr>
                <w:rFonts w:ascii="Arial" w:hAnsi="Arial" w:cs="Arial"/>
                <w:color w:val="101010"/>
                <w:sz w:val="24"/>
                <w:szCs w:val="24"/>
              </w:rPr>
              <w:t>The right to life</w:t>
            </w:r>
          </w:p>
        </w:tc>
      </w:tr>
      <w:tr w:rsidR="00C944D6" w:rsidRPr="006026E4" w14:paraId="10247655" w14:textId="77777777" w:rsidTr="00C944D6">
        <w:tc>
          <w:tcPr>
            <w:tcW w:w="170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7B703CE6" w14:textId="77777777" w:rsidR="00C944D6" w:rsidRPr="006026E4" w:rsidRDefault="00C944D6" w:rsidP="006026E4">
            <w:pPr>
              <w:rPr>
                <w:rFonts w:ascii="Arial" w:hAnsi="Arial" w:cs="Arial"/>
                <w:b/>
                <w:sz w:val="24"/>
                <w:szCs w:val="24"/>
              </w:rPr>
            </w:pPr>
            <w:r w:rsidRPr="006026E4">
              <w:rPr>
                <w:rFonts w:ascii="Arial" w:hAnsi="Arial" w:cs="Arial"/>
                <w:b/>
                <w:sz w:val="24"/>
                <w:szCs w:val="24"/>
              </w:rPr>
              <w:t>Article 8</w:t>
            </w:r>
          </w:p>
        </w:tc>
        <w:tc>
          <w:tcPr>
            <w:tcW w:w="737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1BDD3419" w14:textId="77777777" w:rsidR="00C944D6" w:rsidRPr="006026E4" w:rsidRDefault="00C944D6" w:rsidP="006026E4">
            <w:pPr>
              <w:rPr>
                <w:rFonts w:ascii="Arial" w:hAnsi="Arial" w:cs="Arial"/>
                <w:sz w:val="24"/>
                <w:szCs w:val="24"/>
              </w:rPr>
            </w:pPr>
            <w:r w:rsidRPr="006026E4">
              <w:rPr>
                <w:rFonts w:ascii="Arial" w:hAnsi="Arial" w:cs="Arial"/>
                <w:color w:val="101010"/>
                <w:sz w:val="24"/>
                <w:szCs w:val="24"/>
              </w:rPr>
              <w:t>The right to respect for private and family life and correspondence</w:t>
            </w:r>
          </w:p>
        </w:tc>
      </w:tr>
      <w:tr w:rsidR="00C944D6" w:rsidRPr="006026E4" w14:paraId="0C5CEDB4" w14:textId="77777777" w:rsidTr="00C944D6">
        <w:tc>
          <w:tcPr>
            <w:tcW w:w="170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689736E5" w14:textId="77777777" w:rsidR="00C944D6" w:rsidRPr="006026E4" w:rsidRDefault="00C944D6" w:rsidP="006026E4">
            <w:pPr>
              <w:rPr>
                <w:rFonts w:ascii="Arial" w:hAnsi="Arial" w:cs="Arial"/>
                <w:b/>
                <w:sz w:val="24"/>
                <w:szCs w:val="24"/>
              </w:rPr>
            </w:pPr>
            <w:r w:rsidRPr="006026E4">
              <w:rPr>
                <w:rFonts w:ascii="Arial" w:hAnsi="Arial" w:cs="Arial"/>
                <w:b/>
                <w:sz w:val="24"/>
                <w:szCs w:val="24"/>
              </w:rPr>
              <w:t>Article 11</w:t>
            </w:r>
          </w:p>
        </w:tc>
        <w:tc>
          <w:tcPr>
            <w:tcW w:w="7371" w:type="dxa"/>
            <w:tcBorders>
              <w:top w:val="dotted" w:sz="4" w:space="0" w:color="000000"/>
              <w:left w:val="dotted" w:sz="4" w:space="0" w:color="000000"/>
              <w:bottom w:val="dotted" w:sz="4" w:space="0" w:color="000000"/>
              <w:right w:val="dotted" w:sz="4" w:space="0" w:color="000000"/>
            </w:tcBorders>
            <w:shd w:val="clear" w:color="auto" w:fill="auto"/>
            <w:tcMar>
              <w:top w:w="0" w:type="dxa"/>
              <w:left w:w="57" w:type="dxa"/>
              <w:bottom w:w="0" w:type="dxa"/>
              <w:right w:w="57" w:type="dxa"/>
            </w:tcMar>
            <w:vAlign w:val="center"/>
          </w:tcPr>
          <w:p w14:paraId="0C21EBBA" w14:textId="77777777" w:rsidR="00C944D6" w:rsidRPr="006026E4" w:rsidRDefault="00C944D6" w:rsidP="006026E4">
            <w:pPr>
              <w:rPr>
                <w:rFonts w:ascii="Arial" w:hAnsi="Arial" w:cs="Arial"/>
                <w:sz w:val="24"/>
                <w:szCs w:val="24"/>
              </w:rPr>
            </w:pPr>
            <w:r w:rsidRPr="006026E4">
              <w:rPr>
                <w:rFonts w:ascii="Arial" w:hAnsi="Arial" w:cs="Arial"/>
                <w:color w:val="101010"/>
                <w:sz w:val="24"/>
                <w:szCs w:val="24"/>
              </w:rPr>
              <w:t>Freedom of assembly and association</w:t>
            </w:r>
          </w:p>
        </w:tc>
      </w:tr>
    </w:tbl>
    <w:p w14:paraId="597F9B77" w14:textId="77777777" w:rsidR="0002104A" w:rsidRDefault="0002104A" w:rsidP="006026E4">
      <w:pPr>
        <w:keepNext/>
        <w:rPr>
          <w:rFonts w:ascii="Arial" w:hAnsi="Arial" w:cs="Arial"/>
          <w:i/>
          <w:sz w:val="24"/>
          <w:szCs w:val="24"/>
        </w:rPr>
      </w:pPr>
    </w:p>
    <w:p w14:paraId="0C4A13FD" w14:textId="16371078" w:rsidR="00C944D6" w:rsidRPr="006026E4" w:rsidRDefault="00C944D6" w:rsidP="006026E4">
      <w:pPr>
        <w:keepNext/>
        <w:rPr>
          <w:rFonts w:ascii="Arial" w:hAnsi="Arial" w:cs="Arial"/>
          <w:bCs/>
          <w:i/>
          <w:color w:val="000000" w:themeColor="text1"/>
          <w:sz w:val="24"/>
          <w:szCs w:val="24"/>
        </w:rPr>
      </w:pPr>
      <w:r w:rsidRPr="006026E4">
        <w:rPr>
          <w:rFonts w:ascii="Arial" w:hAnsi="Arial" w:cs="Arial"/>
          <w:i/>
          <w:sz w:val="24"/>
          <w:szCs w:val="24"/>
        </w:rPr>
        <w:t>International Covenant on Economic, Social and Cultural Rights (ICESCR)</w:t>
      </w:r>
    </w:p>
    <w:p w14:paraId="159739CE" w14:textId="45DA978E" w:rsidR="00CF13C1" w:rsidRPr="006026E4" w:rsidRDefault="00C944D6" w:rsidP="006026E4">
      <w:pPr>
        <w:pStyle w:val="ParagraffRhestr"/>
        <w:keepNext/>
        <w:numPr>
          <w:ilvl w:val="0"/>
          <w:numId w:val="17"/>
        </w:numPr>
        <w:rPr>
          <w:bCs/>
          <w:color w:val="000000" w:themeColor="text1"/>
        </w:rPr>
      </w:pPr>
      <w:r w:rsidRPr="006026E4">
        <w:rPr>
          <w:bCs/>
          <w:color w:val="000000" w:themeColor="text1"/>
        </w:rPr>
        <w:t xml:space="preserve">The </w:t>
      </w:r>
      <w:r w:rsidR="001F012D">
        <w:rPr>
          <w:bCs/>
          <w:color w:val="000000" w:themeColor="text1"/>
        </w:rPr>
        <w:t xml:space="preserve">implications of the </w:t>
      </w:r>
      <w:r w:rsidRPr="006026E4">
        <w:t>International Covenant on Economic, Social and Cultural Rights (ICESCR) has also been considered</w:t>
      </w:r>
      <w:r w:rsidR="001F012D">
        <w:t xml:space="preserve">. An </w:t>
      </w:r>
      <w:r w:rsidRPr="006026E4">
        <w:t xml:space="preserve">assessment of impact </w:t>
      </w:r>
      <w:r w:rsidR="001F012D">
        <w:t xml:space="preserve">is </w:t>
      </w:r>
      <w:r w:rsidRPr="006026E4">
        <w:t>outlined below</w:t>
      </w:r>
      <w:r w:rsidR="001F012D">
        <w:t>:</w:t>
      </w:r>
      <w:r w:rsidRPr="006026E4">
        <w:t xml:space="preserve"> </w:t>
      </w:r>
    </w:p>
    <w:p w14:paraId="3B81EF63" w14:textId="77777777" w:rsidR="006026E4" w:rsidRPr="006026E4" w:rsidRDefault="006026E4" w:rsidP="006026E4">
      <w:pPr>
        <w:pStyle w:val="ParagraffRhestr"/>
        <w:keepNext/>
        <w:ind w:left="360"/>
        <w:rPr>
          <w:bCs/>
          <w:color w:val="000000" w:themeColor="text1"/>
        </w:rPr>
      </w:pPr>
    </w:p>
    <w:tbl>
      <w:tblPr>
        <w:tblStyle w:val="GridTabl"/>
        <w:tblW w:w="9214" w:type="dxa"/>
        <w:tblInd w:w="-5" w:type="dxa"/>
        <w:tblLook w:val="04A0" w:firstRow="1" w:lastRow="0" w:firstColumn="1" w:lastColumn="0" w:noHBand="0" w:noVBand="1"/>
      </w:tblPr>
      <w:tblGrid>
        <w:gridCol w:w="1985"/>
        <w:gridCol w:w="2835"/>
        <w:gridCol w:w="2551"/>
        <w:gridCol w:w="1843"/>
      </w:tblGrid>
      <w:tr w:rsidR="00766BA8" w:rsidRPr="006026E4" w14:paraId="3AFBB6A4" w14:textId="77777777" w:rsidTr="00C944D6">
        <w:trPr>
          <w:cantSplit/>
          <w:trHeight w:val="1173"/>
          <w:tblHeader/>
        </w:trPr>
        <w:tc>
          <w:tcPr>
            <w:tcW w:w="1985" w:type="dxa"/>
            <w:shd w:val="clear" w:color="auto" w:fill="D9D9D9" w:themeFill="background1" w:themeFillShade="D9"/>
          </w:tcPr>
          <w:p w14:paraId="65E844B5" w14:textId="77777777" w:rsidR="00766BA8" w:rsidRPr="006026E4" w:rsidRDefault="00766BA8" w:rsidP="006026E4">
            <w:pPr>
              <w:rPr>
                <w:rFonts w:ascii="Arial" w:hAnsi="Arial" w:cs="Arial"/>
                <w:b/>
                <w:i/>
                <w:sz w:val="24"/>
                <w:szCs w:val="24"/>
              </w:rPr>
            </w:pPr>
            <w:r w:rsidRPr="006026E4">
              <w:rPr>
                <w:rFonts w:ascii="Arial" w:hAnsi="Arial" w:cs="Arial"/>
                <w:b/>
                <w:i/>
                <w:sz w:val="24"/>
                <w:szCs w:val="24"/>
              </w:rPr>
              <w:t>Human Rights</w:t>
            </w:r>
          </w:p>
        </w:tc>
        <w:tc>
          <w:tcPr>
            <w:tcW w:w="2835" w:type="dxa"/>
            <w:shd w:val="clear" w:color="auto" w:fill="D9D9D9" w:themeFill="background1" w:themeFillShade="D9"/>
          </w:tcPr>
          <w:p w14:paraId="1AA0BBFB" w14:textId="77777777" w:rsidR="00766BA8" w:rsidRPr="006026E4" w:rsidRDefault="00766BA8" w:rsidP="006026E4">
            <w:pPr>
              <w:rPr>
                <w:rFonts w:ascii="Arial" w:hAnsi="Arial" w:cs="Arial"/>
                <w:b/>
                <w:i/>
                <w:sz w:val="24"/>
                <w:szCs w:val="24"/>
              </w:rPr>
            </w:pPr>
            <w:r w:rsidRPr="006026E4">
              <w:rPr>
                <w:rFonts w:ascii="Arial" w:hAnsi="Arial" w:cs="Arial"/>
                <w:b/>
                <w:i/>
                <w:sz w:val="24"/>
                <w:szCs w:val="24"/>
              </w:rPr>
              <w:t>What are the positive or negative impacts of the proposal?</w:t>
            </w:r>
          </w:p>
        </w:tc>
        <w:tc>
          <w:tcPr>
            <w:tcW w:w="2551" w:type="dxa"/>
            <w:shd w:val="clear" w:color="auto" w:fill="D9D9D9" w:themeFill="background1" w:themeFillShade="D9"/>
          </w:tcPr>
          <w:p w14:paraId="23585910" w14:textId="77777777" w:rsidR="00766BA8" w:rsidRPr="006026E4" w:rsidRDefault="00766BA8" w:rsidP="006026E4">
            <w:pPr>
              <w:rPr>
                <w:rFonts w:ascii="Arial" w:hAnsi="Arial" w:cs="Arial"/>
                <w:b/>
                <w:i/>
                <w:sz w:val="24"/>
                <w:szCs w:val="24"/>
              </w:rPr>
            </w:pPr>
            <w:r w:rsidRPr="006026E4">
              <w:rPr>
                <w:rFonts w:ascii="Arial" w:hAnsi="Arial" w:cs="Arial"/>
                <w:b/>
                <w:i/>
                <w:sz w:val="24"/>
                <w:szCs w:val="24"/>
              </w:rPr>
              <w:t xml:space="preserve">Reasons for your decision (including evidence) </w:t>
            </w:r>
          </w:p>
        </w:tc>
        <w:tc>
          <w:tcPr>
            <w:tcW w:w="1843" w:type="dxa"/>
            <w:shd w:val="clear" w:color="auto" w:fill="D9D9D9" w:themeFill="background1" w:themeFillShade="D9"/>
          </w:tcPr>
          <w:p w14:paraId="10738681" w14:textId="4FB93D77" w:rsidR="00766BA8" w:rsidRPr="006026E4" w:rsidRDefault="00766BA8" w:rsidP="006026E4">
            <w:pPr>
              <w:rPr>
                <w:rFonts w:ascii="Arial" w:hAnsi="Arial" w:cs="Arial"/>
                <w:b/>
                <w:i/>
                <w:sz w:val="24"/>
                <w:szCs w:val="24"/>
              </w:rPr>
            </w:pPr>
            <w:r w:rsidRPr="006026E4">
              <w:rPr>
                <w:rFonts w:ascii="Arial" w:hAnsi="Arial" w:cs="Arial"/>
                <w:b/>
                <w:i/>
                <w:sz w:val="24"/>
                <w:szCs w:val="24"/>
              </w:rPr>
              <w:t>How will you mitigate negative Impacts?</w:t>
            </w:r>
          </w:p>
        </w:tc>
      </w:tr>
      <w:tr w:rsidR="00766BA8" w:rsidRPr="006026E4" w14:paraId="7A06B32C" w14:textId="77777777" w:rsidTr="00C944D6">
        <w:trPr>
          <w:trHeight w:val="1173"/>
        </w:trPr>
        <w:tc>
          <w:tcPr>
            <w:tcW w:w="1985" w:type="dxa"/>
            <w:shd w:val="clear" w:color="auto" w:fill="FFFFFF" w:themeFill="background1"/>
          </w:tcPr>
          <w:p w14:paraId="659A78C2" w14:textId="77777777" w:rsidR="00766BA8" w:rsidRPr="00CC1A0C" w:rsidRDefault="00766BA8" w:rsidP="006026E4">
            <w:pPr>
              <w:rPr>
                <w:rFonts w:ascii="Arial" w:hAnsi="Arial" w:cs="Arial"/>
                <w:i/>
                <w:sz w:val="24"/>
                <w:szCs w:val="24"/>
              </w:rPr>
            </w:pPr>
            <w:r w:rsidRPr="00CC1A0C">
              <w:rPr>
                <w:rFonts w:ascii="Arial" w:hAnsi="Arial" w:cs="Arial"/>
                <w:i/>
                <w:sz w:val="24"/>
                <w:szCs w:val="24"/>
              </w:rPr>
              <w:t xml:space="preserve">Article 11 of the </w:t>
            </w:r>
            <w:r w:rsidRPr="00CC1A0C">
              <w:rPr>
                <w:rFonts w:ascii="Arial" w:hAnsi="Arial" w:cs="Arial"/>
                <w:b/>
                <w:i/>
                <w:sz w:val="24"/>
                <w:szCs w:val="24"/>
              </w:rPr>
              <w:t>International Covenant on Economic, Social and Cultural Rights (ICESCR)</w:t>
            </w:r>
            <w:r w:rsidRPr="00CC1A0C">
              <w:rPr>
                <w:rFonts w:ascii="Arial" w:hAnsi="Arial" w:cs="Arial"/>
                <w:i/>
                <w:sz w:val="24"/>
                <w:szCs w:val="24"/>
              </w:rPr>
              <w:t xml:space="preserve"> recognises the right of everyone to an adequate standard of living for himself and his family, including adequate food, clothing and housing, and to </w:t>
            </w:r>
            <w:r w:rsidRPr="00CC1A0C">
              <w:rPr>
                <w:rFonts w:ascii="Arial" w:hAnsi="Arial" w:cs="Arial"/>
                <w:i/>
                <w:sz w:val="24"/>
                <w:szCs w:val="24"/>
              </w:rPr>
              <w:lastRenderedPageBreak/>
              <w:t>the continuous improvement of living conditions.</w:t>
            </w:r>
          </w:p>
        </w:tc>
        <w:tc>
          <w:tcPr>
            <w:tcW w:w="2835" w:type="dxa"/>
            <w:shd w:val="clear" w:color="auto" w:fill="FFFFFF" w:themeFill="background1"/>
          </w:tcPr>
          <w:p w14:paraId="0DFB43F7" w14:textId="77777777" w:rsidR="00766BA8" w:rsidRDefault="00766BA8" w:rsidP="00FF291F">
            <w:pPr>
              <w:rPr>
                <w:rFonts w:ascii="Arial" w:hAnsi="Arial" w:cs="Arial"/>
                <w:i/>
                <w:sz w:val="24"/>
                <w:szCs w:val="24"/>
              </w:rPr>
            </w:pPr>
            <w:r w:rsidRPr="00CC1A0C">
              <w:rPr>
                <w:rFonts w:ascii="Arial" w:hAnsi="Arial" w:cs="Arial"/>
                <w:i/>
                <w:sz w:val="24"/>
                <w:szCs w:val="24"/>
                <w:u w:val="single"/>
              </w:rPr>
              <w:lastRenderedPageBreak/>
              <w:t>Positive</w:t>
            </w:r>
            <w:r w:rsidRPr="00CC1A0C">
              <w:rPr>
                <w:rFonts w:ascii="Arial" w:hAnsi="Arial" w:cs="Arial"/>
                <w:i/>
                <w:sz w:val="24"/>
                <w:szCs w:val="24"/>
              </w:rPr>
              <w:t xml:space="preserve">: </w:t>
            </w:r>
            <w:r w:rsidR="00FF291F" w:rsidRPr="00FF291F">
              <w:rPr>
                <w:rFonts w:ascii="Arial" w:hAnsi="Arial" w:cs="Arial"/>
                <w:i/>
                <w:sz w:val="24"/>
                <w:szCs w:val="24"/>
              </w:rPr>
              <w:t>re-opening indoor play is expected to have a positive impact on the standard of living of children.</w:t>
            </w:r>
            <w:r w:rsidRPr="00CC1A0C">
              <w:rPr>
                <w:rFonts w:ascii="Arial" w:hAnsi="Arial" w:cs="Arial"/>
                <w:i/>
                <w:sz w:val="24"/>
                <w:szCs w:val="24"/>
              </w:rPr>
              <w:t xml:space="preserve"> </w:t>
            </w:r>
          </w:p>
          <w:p w14:paraId="7E3E11FE" w14:textId="77777777" w:rsidR="00FF291F" w:rsidRDefault="00FF291F" w:rsidP="00FF291F">
            <w:pPr>
              <w:rPr>
                <w:rFonts w:ascii="Arial" w:hAnsi="Arial" w:cs="Arial"/>
                <w:i/>
                <w:sz w:val="24"/>
                <w:szCs w:val="24"/>
              </w:rPr>
            </w:pPr>
          </w:p>
          <w:p w14:paraId="4FE3FE2A" w14:textId="75F3C49E" w:rsidR="00E12EAD" w:rsidRPr="00E12EAD" w:rsidRDefault="00FF291F" w:rsidP="00E12EAD">
            <w:pPr>
              <w:rPr>
                <w:rFonts w:ascii="Arial" w:hAnsi="Arial" w:cs="Arial"/>
                <w:i/>
                <w:sz w:val="24"/>
                <w:szCs w:val="24"/>
              </w:rPr>
            </w:pPr>
            <w:r w:rsidRPr="00E12EAD">
              <w:rPr>
                <w:rFonts w:ascii="Arial" w:hAnsi="Arial" w:cs="Arial"/>
                <w:i/>
                <w:sz w:val="24"/>
                <w:szCs w:val="24"/>
                <w:u w:val="single"/>
              </w:rPr>
              <w:t>Positive:</w:t>
            </w:r>
            <w:r w:rsidRPr="00E12EAD">
              <w:rPr>
                <w:rFonts w:ascii="Arial" w:hAnsi="Arial" w:cs="Arial"/>
                <w:i/>
                <w:sz w:val="24"/>
                <w:szCs w:val="24"/>
              </w:rPr>
              <w:t xml:space="preserve"> </w:t>
            </w:r>
            <w:r w:rsidR="00E12EAD" w:rsidRPr="00E12EAD">
              <w:rPr>
                <w:rFonts w:ascii="Arial" w:hAnsi="Arial" w:cs="Arial"/>
                <w:i/>
                <w:sz w:val="24"/>
                <w:szCs w:val="24"/>
              </w:rPr>
              <w:t xml:space="preserve">re-opening premises which allow individuals to engage in physical activity is expected to be beneficial to both mental and physical well-being. </w:t>
            </w:r>
          </w:p>
          <w:p w14:paraId="721799BE" w14:textId="15A887C4" w:rsidR="00FF291F" w:rsidRPr="00FF291F" w:rsidRDefault="00FF291F" w:rsidP="00FF291F">
            <w:pPr>
              <w:rPr>
                <w:rFonts w:ascii="Arial" w:hAnsi="Arial" w:cs="Arial"/>
                <w:i/>
                <w:sz w:val="24"/>
                <w:szCs w:val="24"/>
                <w:u w:val="single"/>
              </w:rPr>
            </w:pPr>
          </w:p>
        </w:tc>
        <w:tc>
          <w:tcPr>
            <w:tcW w:w="2551" w:type="dxa"/>
            <w:shd w:val="clear" w:color="auto" w:fill="FFFFFF" w:themeFill="background1"/>
          </w:tcPr>
          <w:p w14:paraId="0BBA9115" w14:textId="77777777" w:rsidR="00FF291F" w:rsidRPr="00FF291F" w:rsidRDefault="00FF291F" w:rsidP="00FF291F">
            <w:pPr>
              <w:rPr>
                <w:rFonts w:ascii="Arial" w:hAnsi="Arial" w:cs="Arial"/>
                <w:i/>
                <w:sz w:val="24"/>
                <w:szCs w:val="24"/>
              </w:rPr>
            </w:pPr>
            <w:r w:rsidRPr="00FF291F">
              <w:rPr>
                <w:rFonts w:ascii="Arial" w:hAnsi="Arial" w:cs="Arial"/>
                <w:i/>
                <w:sz w:val="24"/>
                <w:szCs w:val="24"/>
              </w:rPr>
              <w:t>There is a wealth of evidence on the value of play to child development, including physical development, literacy and emotional development.</w:t>
            </w:r>
          </w:p>
          <w:p w14:paraId="0F5C8BF4" w14:textId="77777777" w:rsidR="00FF291F" w:rsidRPr="00FF291F" w:rsidRDefault="00FF291F" w:rsidP="00FF291F">
            <w:pPr>
              <w:rPr>
                <w:rFonts w:ascii="Arial" w:hAnsi="Arial" w:cs="Arial"/>
                <w:i/>
                <w:sz w:val="24"/>
                <w:szCs w:val="24"/>
              </w:rPr>
            </w:pPr>
          </w:p>
          <w:p w14:paraId="6C71C164" w14:textId="77777777" w:rsidR="00FF291F" w:rsidRPr="00FF291F" w:rsidRDefault="00FF291F" w:rsidP="00FF291F">
            <w:pPr>
              <w:rPr>
                <w:rFonts w:ascii="Arial" w:hAnsi="Arial" w:cs="Arial"/>
                <w:i/>
                <w:sz w:val="24"/>
                <w:szCs w:val="24"/>
              </w:rPr>
            </w:pPr>
            <w:r w:rsidRPr="00FF291F">
              <w:rPr>
                <w:rFonts w:ascii="Arial" w:hAnsi="Arial" w:cs="Arial"/>
                <w:i/>
                <w:sz w:val="24"/>
                <w:szCs w:val="24"/>
              </w:rPr>
              <w:t>This includes reports published by the American Academy of Paediatrics</w:t>
            </w:r>
            <w:r w:rsidRPr="00FF291F">
              <w:rPr>
                <w:rStyle w:val="CyfeirnodTroednodyn"/>
                <w:rFonts w:ascii="Arial" w:hAnsi="Arial" w:cs="Arial"/>
                <w:i/>
                <w:sz w:val="24"/>
                <w:szCs w:val="24"/>
              </w:rPr>
              <w:footnoteReference w:id="1"/>
            </w:r>
            <w:r w:rsidRPr="00FF291F">
              <w:rPr>
                <w:rFonts w:ascii="Arial" w:hAnsi="Arial" w:cs="Arial"/>
                <w:i/>
                <w:sz w:val="24"/>
                <w:szCs w:val="24"/>
              </w:rPr>
              <w:t xml:space="preserve"> and the British Medical Association</w:t>
            </w:r>
            <w:r w:rsidRPr="00FF291F">
              <w:rPr>
                <w:rStyle w:val="CyfeirnodTroednodyn"/>
                <w:rFonts w:ascii="Arial" w:hAnsi="Arial" w:cs="Arial"/>
                <w:i/>
                <w:sz w:val="24"/>
                <w:szCs w:val="24"/>
              </w:rPr>
              <w:footnoteReference w:id="2"/>
            </w:r>
            <w:r w:rsidRPr="00FF291F">
              <w:rPr>
                <w:rFonts w:ascii="Arial" w:hAnsi="Arial" w:cs="Arial"/>
                <w:i/>
                <w:sz w:val="24"/>
                <w:szCs w:val="24"/>
              </w:rPr>
              <w:t>.</w:t>
            </w:r>
          </w:p>
          <w:p w14:paraId="0E72041D" w14:textId="50B004F2" w:rsidR="00766BA8" w:rsidRPr="00CC1A0C" w:rsidRDefault="00766BA8" w:rsidP="00ED70B0">
            <w:pPr>
              <w:rPr>
                <w:rFonts w:ascii="Arial" w:hAnsi="Arial" w:cs="Arial"/>
                <w:i/>
                <w:sz w:val="24"/>
                <w:szCs w:val="24"/>
              </w:rPr>
            </w:pPr>
          </w:p>
        </w:tc>
        <w:tc>
          <w:tcPr>
            <w:tcW w:w="1843" w:type="dxa"/>
            <w:shd w:val="clear" w:color="auto" w:fill="FFFFFF" w:themeFill="background1"/>
          </w:tcPr>
          <w:p w14:paraId="47148A33" w14:textId="77777777" w:rsidR="00766BA8" w:rsidRPr="00CC1A0C" w:rsidRDefault="00766BA8" w:rsidP="006026E4">
            <w:pPr>
              <w:rPr>
                <w:rFonts w:ascii="Arial" w:hAnsi="Arial" w:cs="Arial"/>
                <w:i/>
                <w:sz w:val="24"/>
                <w:szCs w:val="24"/>
              </w:rPr>
            </w:pPr>
            <w:r w:rsidRPr="00CC1A0C">
              <w:rPr>
                <w:rFonts w:ascii="Arial" w:hAnsi="Arial" w:cs="Arial"/>
                <w:i/>
                <w:sz w:val="24"/>
                <w:szCs w:val="24"/>
              </w:rPr>
              <w:t>No specific negative impacts from the proposal.</w:t>
            </w:r>
          </w:p>
        </w:tc>
      </w:tr>
    </w:tbl>
    <w:p w14:paraId="5C0BCB1F" w14:textId="77777777" w:rsidR="007630A1" w:rsidRPr="006026E4" w:rsidRDefault="007630A1" w:rsidP="006026E4">
      <w:pPr>
        <w:pStyle w:val="ParagraffRhestr"/>
        <w:ind w:left="360"/>
      </w:pPr>
    </w:p>
    <w:p w14:paraId="3451491A" w14:textId="1946CA8B" w:rsidR="00EF03DD" w:rsidRPr="006026E4" w:rsidRDefault="00EF03DD" w:rsidP="006026E4">
      <w:pPr>
        <w:rPr>
          <w:rFonts w:ascii="Arial" w:hAnsi="Arial" w:cs="Arial"/>
          <w:i/>
          <w:sz w:val="24"/>
          <w:szCs w:val="24"/>
        </w:rPr>
      </w:pPr>
      <w:r w:rsidRPr="006026E4">
        <w:rPr>
          <w:rFonts w:ascii="Arial" w:hAnsi="Arial" w:cs="Arial"/>
          <w:i/>
          <w:sz w:val="24"/>
          <w:szCs w:val="24"/>
        </w:rPr>
        <w:t xml:space="preserve">United Nations Convention on the Rights of the Child </w:t>
      </w:r>
      <w:r w:rsidR="007630A1" w:rsidRPr="006026E4">
        <w:rPr>
          <w:rFonts w:ascii="Arial" w:hAnsi="Arial" w:cs="Arial"/>
          <w:i/>
          <w:sz w:val="24"/>
          <w:szCs w:val="24"/>
        </w:rPr>
        <w:t>(UNCRC)</w:t>
      </w:r>
    </w:p>
    <w:p w14:paraId="2D6E39DF" w14:textId="59E80DFB" w:rsidR="00EF03DD" w:rsidRPr="006026E4" w:rsidRDefault="00EF03DD" w:rsidP="006026E4">
      <w:pPr>
        <w:pStyle w:val="ParagraffRhestr"/>
        <w:numPr>
          <w:ilvl w:val="0"/>
          <w:numId w:val="17"/>
        </w:numPr>
      </w:pPr>
      <w:r w:rsidRPr="006026E4">
        <w:t xml:space="preserve">The United Nations Convention on the Rights of the Child </w:t>
      </w:r>
      <w:r w:rsidR="007630A1" w:rsidRPr="006026E4">
        <w:t xml:space="preserve">(UNCRC) </w:t>
      </w:r>
      <w:r w:rsidRPr="006026E4">
        <w:t xml:space="preserve">has been considered in this assessment. The package of measures have implications for the following Articles: </w:t>
      </w:r>
    </w:p>
    <w:p w14:paraId="78AEE82A" w14:textId="77777777" w:rsidR="00EF03DD" w:rsidRPr="007630A1" w:rsidRDefault="00EF03DD" w:rsidP="00ED5AD2">
      <w:pPr>
        <w:pStyle w:val="ParagraffRhestr"/>
        <w:ind w:left="1080"/>
        <w:rPr>
          <w:color w:val="000000"/>
        </w:rPr>
      </w:pPr>
    </w:p>
    <w:p w14:paraId="690D9063" w14:textId="77777777" w:rsidR="00EF03DD" w:rsidRPr="007630A1" w:rsidRDefault="00EF03DD" w:rsidP="00ED5AD2">
      <w:pPr>
        <w:pStyle w:val="ParagraffRhestr"/>
        <w:numPr>
          <w:ilvl w:val="0"/>
          <w:numId w:val="21"/>
        </w:numPr>
      </w:pPr>
      <w:r w:rsidRPr="007630A1">
        <w:rPr>
          <w:b/>
        </w:rPr>
        <w:t>Article 12</w:t>
      </w:r>
      <w:r w:rsidRPr="007630A1">
        <w:t xml:space="preserve"> – Every child has the right to express their views, feelings and wishes in all matters affecting them, and to have their views considered and taken seriously. </w:t>
      </w:r>
    </w:p>
    <w:p w14:paraId="48690CFE" w14:textId="77777777" w:rsidR="00EF03DD" w:rsidRPr="007630A1" w:rsidRDefault="00EF03DD" w:rsidP="00ED5AD2">
      <w:pPr>
        <w:pStyle w:val="ParagraffRhestr"/>
        <w:ind w:left="1440"/>
      </w:pPr>
    </w:p>
    <w:p w14:paraId="0B544E51" w14:textId="77777777" w:rsidR="00EF03DD" w:rsidRPr="007630A1" w:rsidRDefault="00EF03DD" w:rsidP="00ED5AD2">
      <w:pPr>
        <w:pStyle w:val="ParagraffRhestr"/>
        <w:numPr>
          <w:ilvl w:val="0"/>
          <w:numId w:val="21"/>
        </w:numPr>
      </w:pPr>
      <w:r w:rsidRPr="007630A1">
        <w:rPr>
          <w:b/>
        </w:rPr>
        <w:t>Article 15</w:t>
      </w:r>
      <w:r w:rsidRPr="007630A1">
        <w:t xml:space="preserve"> – Children have the right to meet together and to join groups and organisations, as long as this does not stop other people from enjoying their rights.</w:t>
      </w:r>
    </w:p>
    <w:p w14:paraId="3C4D2449" w14:textId="77777777" w:rsidR="00EF03DD" w:rsidRPr="007630A1" w:rsidRDefault="00EF03DD" w:rsidP="00ED5AD2">
      <w:pPr>
        <w:pStyle w:val="ParagraffRhestr"/>
        <w:ind w:left="1440"/>
      </w:pPr>
    </w:p>
    <w:p w14:paraId="7675DA76" w14:textId="656DCBB3" w:rsidR="00EF03DD" w:rsidRDefault="00EF03DD" w:rsidP="00ED5AD2">
      <w:pPr>
        <w:pStyle w:val="ParagraffRhestr"/>
        <w:numPr>
          <w:ilvl w:val="0"/>
          <w:numId w:val="21"/>
        </w:numPr>
      </w:pPr>
      <w:r w:rsidRPr="007630A1">
        <w:rPr>
          <w:b/>
        </w:rPr>
        <w:t>Article 18</w:t>
      </w:r>
      <w:r w:rsidRPr="007630A1">
        <w:t xml:space="preserve"> – Both parents share responsibility for bringing up their children, and should always consider what is best for each child. Governments should help parents by providing services to support them, especially if both parents work.</w:t>
      </w:r>
    </w:p>
    <w:p w14:paraId="0ABEFEB9" w14:textId="77777777" w:rsidR="0001342F" w:rsidRDefault="0001342F" w:rsidP="0001342F">
      <w:pPr>
        <w:pStyle w:val="ParagraffRhestr"/>
      </w:pPr>
    </w:p>
    <w:p w14:paraId="4BFFDB26" w14:textId="7CDE3CF7" w:rsidR="0001342F" w:rsidRPr="0001342F" w:rsidRDefault="0001342F" w:rsidP="0001342F">
      <w:pPr>
        <w:pStyle w:val="ParagraffRhestr"/>
        <w:numPr>
          <w:ilvl w:val="0"/>
          <w:numId w:val="21"/>
        </w:numPr>
      </w:pPr>
      <w:r w:rsidRPr="0001342F">
        <w:rPr>
          <w:b/>
        </w:rPr>
        <w:t>Article 23</w:t>
      </w:r>
      <w:r>
        <w:t xml:space="preserve"> - </w:t>
      </w:r>
      <w:r w:rsidRPr="0001342F">
        <w:t>A child with a disability has the right to live a full and decent life with dignity and, as far as possible, independence and to play an active part in the community. Governments must do all they can to support disabled children and their families.</w:t>
      </w:r>
    </w:p>
    <w:p w14:paraId="224AC7D2" w14:textId="77777777" w:rsidR="00EF03DD" w:rsidRPr="007630A1" w:rsidRDefault="00EF03DD" w:rsidP="00ED5AD2">
      <w:pPr>
        <w:pStyle w:val="ParagraffRhestr"/>
        <w:ind w:left="1440"/>
      </w:pPr>
    </w:p>
    <w:p w14:paraId="29E08CF2" w14:textId="77777777" w:rsidR="00EF03DD" w:rsidRPr="007630A1" w:rsidRDefault="00EF03DD" w:rsidP="00ED5AD2">
      <w:pPr>
        <w:pStyle w:val="ParagraffRhestr"/>
        <w:numPr>
          <w:ilvl w:val="0"/>
          <w:numId w:val="21"/>
        </w:numPr>
      </w:pPr>
      <w:r w:rsidRPr="007630A1">
        <w:rPr>
          <w:b/>
        </w:rPr>
        <w:t>Article 27</w:t>
      </w:r>
      <w:r w:rsidRPr="007630A1">
        <w:t xml:space="preserve"> – Children have a right to a standard of living that is good enough to meet their physical and mental needs. The Government should help families who cannot afford to provide this</w:t>
      </w:r>
    </w:p>
    <w:p w14:paraId="268BE899" w14:textId="77777777" w:rsidR="00EF03DD" w:rsidRPr="007630A1" w:rsidRDefault="00EF03DD" w:rsidP="00ED5AD2">
      <w:pPr>
        <w:pStyle w:val="ParagraffRhestr"/>
        <w:ind w:left="1440"/>
      </w:pPr>
    </w:p>
    <w:p w14:paraId="6066F066" w14:textId="77777777" w:rsidR="00EF03DD" w:rsidRPr="007630A1" w:rsidRDefault="00EF03DD" w:rsidP="00ED5AD2">
      <w:pPr>
        <w:pStyle w:val="ParagraffRhestr"/>
        <w:numPr>
          <w:ilvl w:val="0"/>
          <w:numId w:val="21"/>
        </w:numPr>
      </w:pPr>
      <w:r w:rsidRPr="007630A1">
        <w:rPr>
          <w:b/>
        </w:rPr>
        <w:t>Article 31</w:t>
      </w:r>
      <w:r w:rsidRPr="007630A1">
        <w:t xml:space="preserve"> – All children have a right to relax and play, and to join in a wide range of activities.</w:t>
      </w:r>
    </w:p>
    <w:p w14:paraId="68216972" w14:textId="77777777" w:rsidR="00EF03DD" w:rsidRPr="006026E4" w:rsidRDefault="00EF03DD" w:rsidP="00ED5AD2">
      <w:pPr>
        <w:pStyle w:val="ParagraffRhestr"/>
        <w:ind w:left="360"/>
      </w:pPr>
    </w:p>
    <w:p w14:paraId="59D296D4" w14:textId="43E3775A" w:rsidR="00FF291F" w:rsidRDefault="00FF291F" w:rsidP="00FF291F">
      <w:pPr>
        <w:pStyle w:val="ParagraffRhestr"/>
        <w:numPr>
          <w:ilvl w:val="0"/>
          <w:numId w:val="17"/>
        </w:numPr>
        <w:textAlignment w:val="baseline"/>
      </w:pPr>
      <w:r w:rsidRPr="00FF291F">
        <w:t>Easing restrictions</w:t>
      </w:r>
      <w:r>
        <w:t xml:space="preserve"> on indoor play</w:t>
      </w:r>
      <w:r w:rsidRPr="00FF291F">
        <w:t xml:space="preserve"> would enable the Welsh Government to m</w:t>
      </w:r>
      <w:r>
        <w:t>eet its obligations under a</w:t>
      </w:r>
      <w:r w:rsidRPr="00FF291F">
        <w:t xml:space="preserve">rticle </w:t>
      </w:r>
      <w:r>
        <w:t xml:space="preserve">31 </w:t>
      </w:r>
      <w:r w:rsidRPr="00FF291F">
        <w:t xml:space="preserve">in particular. There may also be some benefits under Article 15 (the right to meet together), but these will be constrained until further easements are made to gatherings indoors. </w:t>
      </w:r>
    </w:p>
    <w:p w14:paraId="0866A34C" w14:textId="77777777" w:rsidR="00FF291F" w:rsidRPr="00FF291F" w:rsidRDefault="00FF291F" w:rsidP="00FF291F">
      <w:pPr>
        <w:pStyle w:val="ParagraffRhestr"/>
        <w:ind w:left="360"/>
        <w:textAlignment w:val="baseline"/>
      </w:pPr>
    </w:p>
    <w:p w14:paraId="30FDFC55" w14:textId="49CF075C" w:rsidR="00792948" w:rsidRPr="00ED5AD2" w:rsidRDefault="00B14AD5" w:rsidP="00ED5AD2">
      <w:pPr>
        <w:rPr>
          <w:rFonts w:ascii="Arial" w:hAnsi="Arial" w:cs="Arial"/>
          <w:i/>
          <w:sz w:val="24"/>
          <w:szCs w:val="24"/>
        </w:rPr>
      </w:pPr>
      <w:r w:rsidRPr="00ED5AD2">
        <w:rPr>
          <w:rFonts w:ascii="Arial" w:hAnsi="Arial" w:cs="Arial"/>
          <w:i/>
          <w:sz w:val="24"/>
          <w:szCs w:val="24"/>
        </w:rPr>
        <w:t>Wider economic, social and w</w:t>
      </w:r>
      <w:r w:rsidR="00792948" w:rsidRPr="00ED5AD2">
        <w:rPr>
          <w:rFonts w:ascii="Arial" w:hAnsi="Arial" w:cs="Arial"/>
          <w:i/>
          <w:sz w:val="24"/>
          <w:szCs w:val="24"/>
        </w:rPr>
        <w:t xml:space="preserve">ellbeing impacts </w:t>
      </w:r>
    </w:p>
    <w:p w14:paraId="320D1DE5" w14:textId="77777777" w:rsidR="008D5264" w:rsidRPr="00C80C2D" w:rsidRDefault="008D5264" w:rsidP="00C80C2D">
      <w:pPr>
        <w:pStyle w:val="ParagraffRhestr"/>
        <w:numPr>
          <w:ilvl w:val="0"/>
          <w:numId w:val="17"/>
        </w:numPr>
        <w:textAlignment w:val="baseline"/>
      </w:pPr>
      <w:r>
        <w:t>There are ‘four harms’ that are widely associated with COVID-19, which relate to:</w:t>
      </w:r>
    </w:p>
    <w:p w14:paraId="3C40B5AE" w14:textId="77777777" w:rsidR="008D5264" w:rsidRDefault="008D5264" w:rsidP="008D5264">
      <w:pPr>
        <w:pStyle w:val="ParagraffRhestr"/>
        <w:numPr>
          <w:ilvl w:val="0"/>
          <w:numId w:val="32"/>
        </w:numPr>
        <w:suppressAutoHyphens/>
        <w:autoSpaceDN w:val="0"/>
        <w:spacing w:before="100" w:after="100"/>
        <w:contextualSpacing w:val="0"/>
      </w:pPr>
      <w:r>
        <w:t>Direct harm from COVID-19;</w:t>
      </w:r>
    </w:p>
    <w:p w14:paraId="1986A5BC" w14:textId="77777777" w:rsidR="008D5264" w:rsidRDefault="008D5264" w:rsidP="008D5264">
      <w:pPr>
        <w:pStyle w:val="ParagraffRhestr"/>
        <w:numPr>
          <w:ilvl w:val="0"/>
          <w:numId w:val="32"/>
        </w:numPr>
        <w:suppressAutoHyphens/>
        <w:autoSpaceDN w:val="0"/>
        <w:spacing w:after="160" w:line="254" w:lineRule="auto"/>
        <w:contextualSpacing w:val="0"/>
      </w:pPr>
      <w:r>
        <w:lastRenderedPageBreak/>
        <w:t>Harm from the NHS becoming overwhelmed from the demands of COVID-19;</w:t>
      </w:r>
    </w:p>
    <w:p w14:paraId="5D90E8C0" w14:textId="77777777" w:rsidR="008D5264" w:rsidRDefault="008D5264" w:rsidP="008D5264">
      <w:pPr>
        <w:pStyle w:val="ParagraffRhestr"/>
        <w:numPr>
          <w:ilvl w:val="0"/>
          <w:numId w:val="32"/>
        </w:numPr>
        <w:suppressAutoHyphens/>
        <w:autoSpaceDN w:val="0"/>
        <w:spacing w:after="160" w:line="254" w:lineRule="auto"/>
        <w:contextualSpacing w:val="0"/>
      </w:pPr>
      <w:r>
        <w:t>Indirect harm emanating from a reduction of non-COVID activity; and</w:t>
      </w:r>
    </w:p>
    <w:p w14:paraId="1B3DE438" w14:textId="77777777" w:rsidR="008D5264" w:rsidRDefault="008D5264" w:rsidP="008D5264">
      <w:pPr>
        <w:pStyle w:val="ParagraffRhestr"/>
        <w:numPr>
          <w:ilvl w:val="0"/>
          <w:numId w:val="32"/>
        </w:numPr>
        <w:suppressAutoHyphens/>
        <w:autoSpaceDN w:val="0"/>
        <w:spacing w:after="160" w:line="254" w:lineRule="auto"/>
        <w:contextualSpacing w:val="0"/>
      </w:pPr>
      <w:r>
        <w:t>Indirect harms from wider societal actions and the lockdown.</w:t>
      </w:r>
    </w:p>
    <w:p w14:paraId="30690359" w14:textId="77777777" w:rsidR="008D5264" w:rsidRDefault="008D5264" w:rsidP="008D5264">
      <w:pPr>
        <w:pStyle w:val="ParagraffRhestr"/>
        <w:ind w:left="360"/>
      </w:pPr>
      <w:r>
        <w:t xml:space="preserve">Evidence suggests the first three harms have largely now been mitigated but we must work to understand and mitigate the range of fourth harms.  </w:t>
      </w:r>
    </w:p>
    <w:p w14:paraId="47B2405A" w14:textId="77777777" w:rsidR="008D5264" w:rsidRDefault="008D5264" w:rsidP="008D5264">
      <w:pPr>
        <w:pStyle w:val="ParagraffRhestr"/>
        <w:ind w:left="360"/>
      </w:pPr>
    </w:p>
    <w:p w14:paraId="78ED06D9" w14:textId="77777777" w:rsidR="00C80C2D" w:rsidRDefault="008D5264" w:rsidP="00C80C2D">
      <w:pPr>
        <w:pStyle w:val="ParagraffRhestr"/>
        <w:numPr>
          <w:ilvl w:val="0"/>
          <w:numId w:val="17"/>
        </w:numPr>
        <w:spacing w:before="100" w:beforeAutospacing="1" w:after="100" w:afterAutospacing="1"/>
      </w:pPr>
      <w:r>
        <w:t>It is difficult to fully grasp the range of impacts fourth harms can have: how long will they last; whether they will be short, medium or longer-term issues and even when other impacts may emerge. To support our identification and understanding of the four harms, a range of survey evidence is being gathered and analysed.</w:t>
      </w:r>
    </w:p>
    <w:p w14:paraId="4DA59428" w14:textId="77777777" w:rsidR="00C80C2D" w:rsidRDefault="00C80C2D" w:rsidP="00C80C2D">
      <w:pPr>
        <w:pStyle w:val="ParagraffRhestr"/>
        <w:spacing w:before="100" w:beforeAutospacing="1" w:after="100" w:afterAutospacing="1"/>
        <w:ind w:left="360"/>
      </w:pPr>
    </w:p>
    <w:p w14:paraId="3F3116E5" w14:textId="08789AA5" w:rsidR="001C4E5E" w:rsidRPr="001C4E5E" w:rsidRDefault="00FF291F" w:rsidP="001C4E5E">
      <w:pPr>
        <w:pStyle w:val="ParagraffRhestr"/>
        <w:numPr>
          <w:ilvl w:val="0"/>
          <w:numId w:val="17"/>
        </w:numPr>
        <w:spacing w:before="100" w:beforeAutospacing="1" w:afterAutospacing="1"/>
      </w:pPr>
      <w:r w:rsidRPr="002A369D">
        <w:t xml:space="preserve">As well as the well-being impacts noted above and below, </w:t>
      </w:r>
      <w:r w:rsidR="001C4E5E">
        <w:t>the easements described are expected to have a positive economic impact</w:t>
      </w:r>
      <w:r w:rsidR="002A369D" w:rsidRPr="002A369D">
        <w:t xml:space="preserve">. </w:t>
      </w:r>
      <w:r w:rsidR="001C4E5E" w:rsidRPr="00DC0955">
        <w:t xml:space="preserve">The ONS’ Business Impacts of Covid-19 Survey (BICS) provides insights on the effects of restrictions across the UK on the broad </w:t>
      </w:r>
      <w:r w:rsidR="001C4E5E" w:rsidRPr="001C4E5E">
        <w:rPr>
          <w:i/>
        </w:rPr>
        <w:t xml:space="preserve">Arts, Entertainment, and Recreation </w:t>
      </w:r>
      <w:r w:rsidR="001C4E5E" w:rsidRPr="00DC0955">
        <w:t xml:space="preserve">sector (which most </w:t>
      </w:r>
      <w:r w:rsidR="001C4E5E" w:rsidRPr="001C4E5E">
        <w:t>sport and leisure businesses sit within).</w:t>
      </w:r>
      <w:r w:rsidR="001C4E5E" w:rsidRPr="001C4E5E">
        <w:rPr>
          <w:rStyle w:val="CyfeirnodTroednodyn"/>
        </w:rPr>
        <w:footnoteReference w:id="3"/>
      </w:r>
      <w:r w:rsidR="001C4E5E" w:rsidRPr="001C4E5E">
        <w:t xml:space="preserve"> It shows that, as of the second half of June, this sector had been one of the worst impacted by lockdown restrictions so far - only 39% of businesses within this sector were still continuing to trade, the lowest level of any sector. The proposed easements should enable a number of businesses to begin trading again.</w:t>
      </w:r>
    </w:p>
    <w:p w14:paraId="1BE1ECD1" w14:textId="77777777" w:rsidR="001C4E5E" w:rsidRPr="001C4E5E" w:rsidRDefault="001C4E5E" w:rsidP="001C4E5E">
      <w:pPr>
        <w:pStyle w:val="ParagraffRhestr"/>
      </w:pPr>
    </w:p>
    <w:p w14:paraId="5559066E" w14:textId="2E4428E8" w:rsidR="00622757" w:rsidRPr="002A369D" w:rsidRDefault="002A369D" w:rsidP="00ED70B0">
      <w:pPr>
        <w:pStyle w:val="ParagraffRhestr"/>
        <w:numPr>
          <w:ilvl w:val="0"/>
          <w:numId w:val="17"/>
        </w:numPr>
        <w:spacing w:before="100" w:beforeAutospacing="1" w:afterAutospacing="1"/>
      </w:pPr>
      <w:r w:rsidRPr="001C4E5E">
        <w:t>Indoor play areas are</w:t>
      </w:r>
      <w:r w:rsidR="001C4E5E" w:rsidRPr="001C4E5E">
        <w:t xml:space="preserve"> also</w:t>
      </w:r>
      <w:r w:rsidRPr="001C4E5E">
        <w:t xml:space="preserve"> businesses. BALPPA represent 180 play areas out of 1,100, and report that</w:t>
      </w:r>
      <w:r w:rsidRPr="002A369D">
        <w:t xml:space="preserve"> the sector employs over 30,000 people across the UK, (there is no specific Wales breakdown for this information.)</w:t>
      </w:r>
    </w:p>
    <w:p w14:paraId="3F0C148F" w14:textId="4FCB0E47" w:rsidR="00792948" w:rsidRPr="00554D2B" w:rsidRDefault="00792948" w:rsidP="00ED5AD2">
      <w:pPr>
        <w:rPr>
          <w:rFonts w:ascii="Arial" w:hAnsi="Arial" w:cs="Arial"/>
          <w:i/>
          <w:sz w:val="24"/>
          <w:szCs w:val="24"/>
        </w:rPr>
      </w:pPr>
      <w:r w:rsidRPr="00554D2B">
        <w:rPr>
          <w:rFonts w:ascii="Arial" w:hAnsi="Arial" w:cs="Arial"/>
          <w:i/>
          <w:sz w:val="24"/>
          <w:szCs w:val="24"/>
        </w:rPr>
        <w:t xml:space="preserve">Environmental impacts </w:t>
      </w:r>
    </w:p>
    <w:p w14:paraId="58CF5EAC" w14:textId="6C370CB1" w:rsidR="00157B9B" w:rsidRPr="00554D2B" w:rsidRDefault="00157B9B" w:rsidP="00157B9B">
      <w:pPr>
        <w:numPr>
          <w:ilvl w:val="0"/>
          <w:numId w:val="17"/>
        </w:numPr>
        <w:rPr>
          <w:rFonts w:ascii="Arial" w:eastAsiaTheme="minorHAnsi" w:hAnsi="Arial" w:cs="Arial"/>
          <w:sz w:val="24"/>
          <w:szCs w:val="24"/>
        </w:rPr>
      </w:pPr>
      <w:r w:rsidRPr="00554D2B">
        <w:rPr>
          <w:rFonts w:ascii="Arial" w:eastAsiaTheme="minorHAnsi" w:hAnsi="Arial" w:cs="Arial"/>
          <w:sz w:val="24"/>
          <w:szCs w:val="24"/>
        </w:rPr>
        <w:t>There is likely to be a</w:t>
      </w:r>
      <w:r w:rsidR="00FF291F">
        <w:rPr>
          <w:rFonts w:ascii="Arial" w:eastAsiaTheme="minorHAnsi" w:hAnsi="Arial" w:cs="Arial"/>
          <w:sz w:val="24"/>
          <w:szCs w:val="24"/>
        </w:rPr>
        <w:t xml:space="preserve"> small</w:t>
      </w:r>
      <w:r w:rsidRPr="00554D2B">
        <w:rPr>
          <w:rFonts w:ascii="Arial" w:eastAsiaTheme="minorHAnsi" w:hAnsi="Arial" w:cs="Arial"/>
          <w:sz w:val="24"/>
          <w:szCs w:val="24"/>
        </w:rPr>
        <w:t xml:space="preserve"> negative environmental impact as more people travel longer distances to visit</w:t>
      </w:r>
      <w:r w:rsidR="00554D2B" w:rsidRPr="00554D2B">
        <w:rPr>
          <w:rFonts w:ascii="Arial" w:eastAsiaTheme="minorHAnsi" w:hAnsi="Arial" w:cs="Arial"/>
          <w:sz w:val="24"/>
          <w:szCs w:val="24"/>
        </w:rPr>
        <w:t xml:space="preserve"> </w:t>
      </w:r>
      <w:r w:rsidRPr="00554D2B">
        <w:rPr>
          <w:rFonts w:ascii="Arial" w:eastAsiaTheme="minorHAnsi" w:hAnsi="Arial" w:cs="Arial"/>
          <w:sz w:val="24"/>
          <w:szCs w:val="24"/>
        </w:rPr>
        <w:t xml:space="preserve">services, and are likely to increasingly use their own cars to do so where they are able. </w:t>
      </w:r>
    </w:p>
    <w:p w14:paraId="05AC3748" w14:textId="77777777" w:rsidR="00157B9B" w:rsidRPr="00554D2B" w:rsidRDefault="00157B9B" w:rsidP="00157B9B">
      <w:pPr>
        <w:rPr>
          <w:rFonts w:ascii="Arial" w:eastAsiaTheme="minorHAnsi" w:hAnsi="Arial" w:cs="Arial"/>
          <w:i/>
          <w:sz w:val="24"/>
          <w:szCs w:val="24"/>
        </w:rPr>
      </w:pPr>
      <w:r w:rsidRPr="00554D2B">
        <w:rPr>
          <w:rFonts w:ascii="Arial" w:eastAsiaTheme="minorHAnsi" w:hAnsi="Arial" w:cs="Arial"/>
          <w:i/>
          <w:sz w:val="24"/>
          <w:szCs w:val="24"/>
        </w:rPr>
        <w:t>Welsh Language</w:t>
      </w:r>
    </w:p>
    <w:p w14:paraId="5E074DCF" w14:textId="77777777" w:rsidR="00AB101D" w:rsidRPr="00554D2B" w:rsidRDefault="00157B9B" w:rsidP="00C80C2D">
      <w:pPr>
        <w:numPr>
          <w:ilvl w:val="0"/>
          <w:numId w:val="17"/>
        </w:numPr>
        <w:rPr>
          <w:rFonts w:ascii="Arial" w:eastAsiaTheme="minorHAnsi" w:hAnsi="Arial" w:cs="Arial"/>
          <w:i/>
          <w:sz w:val="24"/>
          <w:szCs w:val="24"/>
        </w:rPr>
      </w:pPr>
      <w:r w:rsidRPr="00554D2B">
        <w:rPr>
          <w:rFonts w:ascii="Arial" w:eastAsiaTheme="minorHAnsi" w:hAnsi="Arial" w:cs="Arial"/>
          <w:sz w:val="24"/>
          <w:szCs w:val="24"/>
        </w:rPr>
        <w:t xml:space="preserve">The measures described above do not have any identifiable negative impacts on the Welsh Government’s commitment to preserve and promote the Welsh Language. </w:t>
      </w:r>
    </w:p>
    <w:p w14:paraId="0FE2BDFA" w14:textId="384A325D" w:rsidR="00157B9B" w:rsidRPr="00554D2B" w:rsidRDefault="00157B9B">
      <w:pPr>
        <w:rPr>
          <w:rFonts w:ascii="Arial" w:eastAsiaTheme="minorHAnsi" w:hAnsi="Arial" w:cs="Arial"/>
          <w:i/>
          <w:sz w:val="24"/>
          <w:szCs w:val="24"/>
        </w:rPr>
      </w:pPr>
      <w:r w:rsidRPr="00554D2B">
        <w:rPr>
          <w:rFonts w:ascii="Arial" w:eastAsiaTheme="minorHAnsi" w:hAnsi="Arial" w:cs="Arial"/>
          <w:i/>
          <w:sz w:val="24"/>
          <w:szCs w:val="24"/>
        </w:rPr>
        <w:t>Rural impacts</w:t>
      </w:r>
    </w:p>
    <w:p w14:paraId="6D54F9C4" w14:textId="4EFD19E6" w:rsidR="00127407" w:rsidRPr="00554D2B" w:rsidRDefault="00157B9B" w:rsidP="00554D2B">
      <w:pPr>
        <w:numPr>
          <w:ilvl w:val="0"/>
          <w:numId w:val="17"/>
        </w:numPr>
        <w:rPr>
          <w:rFonts w:ascii="Arial" w:eastAsiaTheme="minorHAnsi" w:hAnsi="Arial" w:cs="Arial"/>
          <w:sz w:val="24"/>
          <w:szCs w:val="24"/>
        </w:rPr>
      </w:pPr>
      <w:r w:rsidRPr="00554D2B">
        <w:rPr>
          <w:rFonts w:ascii="Arial" w:eastAsiaTheme="minorHAnsi" w:hAnsi="Arial" w:cs="Arial"/>
          <w:sz w:val="24"/>
          <w:szCs w:val="24"/>
        </w:rPr>
        <w:t xml:space="preserve">The impact of these measures is not anticipated to differ </w:t>
      </w:r>
      <w:r w:rsidR="00554D2B">
        <w:rPr>
          <w:rFonts w:ascii="Arial" w:eastAsiaTheme="minorHAnsi" w:hAnsi="Arial" w:cs="Arial"/>
          <w:sz w:val="24"/>
          <w:szCs w:val="24"/>
        </w:rPr>
        <w:t>in rural areas.</w:t>
      </w:r>
    </w:p>
    <w:p w14:paraId="189ED195" w14:textId="5E2D3DCA" w:rsidR="00792948" w:rsidRPr="006026E4" w:rsidRDefault="00792948" w:rsidP="00ED5AD2">
      <w:pPr>
        <w:pStyle w:val="ParagraffRhestr"/>
        <w:ind w:left="360"/>
        <w:rPr>
          <w:b/>
        </w:rPr>
      </w:pPr>
    </w:p>
    <w:p w14:paraId="2E665651" w14:textId="77777777" w:rsidR="00A748CD" w:rsidRDefault="00A748CD">
      <w:pPr>
        <w:suppressAutoHyphens w:val="0"/>
        <w:autoSpaceDN/>
        <w:spacing w:line="259" w:lineRule="auto"/>
        <w:rPr>
          <w:rFonts w:ascii="Arial" w:hAnsi="Arial" w:cs="Arial"/>
          <w:b/>
          <w:sz w:val="24"/>
          <w:szCs w:val="24"/>
        </w:rPr>
      </w:pPr>
      <w:r>
        <w:rPr>
          <w:rFonts w:ascii="Arial" w:hAnsi="Arial" w:cs="Arial"/>
          <w:b/>
          <w:sz w:val="24"/>
          <w:szCs w:val="24"/>
        </w:rPr>
        <w:br w:type="page"/>
      </w:r>
    </w:p>
    <w:p w14:paraId="350FBA73" w14:textId="216CA81D" w:rsidR="005E5B59" w:rsidRPr="005E5B59" w:rsidRDefault="00753C4C" w:rsidP="0001342F">
      <w:pPr>
        <w:suppressAutoHyphens w:val="0"/>
        <w:autoSpaceDN/>
        <w:spacing w:line="259" w:lineRule="auto"/>
        <w:rPr>
          <w:rFonts w:ascii="Arial" w:hAnsi="Arial" w:cs="Arial"/>
          <w:b/>
          <w:sz w:val="24"/>
          <w:szCs w:val="24"/>
        </w:rPr>
      </w:pPr>
      <w:r>
        <w:rPr>
          <w:rFonts w:ascii="Arial" w:hAnsi="Arial" w:cs="Arial"/>
          <w:b/>
          <w:sz w:val="24"/>
          <w:szCs w:val="24"/>
        </w:rPr>
        <w:lastRenderedPageBreak/>
        <w:t xml:space="preserve">Annex </w:t>
      </w:r>
      <w:r w:rsidR="00483B41">
        <w:rPr>
          <w:rFonts w:ascii="Arial" w:hAnsi="Arial" w:cs="Arial"/>
          <w:b/>
          <w:sz w:val="24"/>
          <w:szCs w:val="24"/>
        </w:rPr>
        <w:t>A</w:t>
      </w:r>
      <w:r>
        <w:rPr>
          <w:rFonts w:ascii="Arial" w:hAnsi="Arial" w:cs="Arial"/>
          <w:b/>
          <w:sz w:val="24"/>
          <w:szCs w:val="24"/>
        </w:rPr>
        <w:t xml:space="preserve">: Equality Impact Assessment – </w:t>
      </w:r>
      <w:r w:rsidR="00ED70B0" w:rsidRPr="00ED70B0">
        <w:rPr>
          <w:rFonts w:ascii="Arial" w:hAnsi="Arial" w:cs="Arial"/>
          <w:b/>
          <w:sz w:val="24"/>
          <w:szCs w:val="24"/>
        </w:rPr>
        <w:t>reopening indoor gyms and play areas, leisure centres, swimming pools, full reopening spas, indoor fitness centres</w:t>
      </w:r>
    </w:p>
    <w:p w14:paraId="1D579FB5" w14:textId="1562F565" w:rsidR="0051092B" w:rsidRDefault="00AF5E0D" w:rsidP="0051092B">
      <w:pPr>
        <w:rPr>
          <w:rFonts w:ascii="Arial" w:hAnsi="Arial" w:cs="Arial"/>
          <w:sz w:val="24"/>
          <w:szCs w:val="24"/>
        </w:rPr>
      </w:pPr>
      <w:r w:rsidRPr="005E5B59">
        <w:rPr>
          <w:rFonts w:ascii="Arial" w:hAnsi="Arial" w:cs="Arial"/>
          <w:color w:val="000000" w:themeColor="text1"/>
          <w:sz w:val="24"/>
          <w:szCs w:val="24"/>
        </w:rPr>
        <w:t xml:space="preserve">Lockdown restrictions on this sector have had a disproportionate impact on </w:t>
      </w:r>
      <w:r w:rsidR="00C04A86">
        <w:rPr>
          <w:rFonts w:ascii="Arial" w:hAnsi="Arial" w:cs="Arial"/>
          <w:color w:val="000000" w:themeColor="text1"/>
          <w:sz w:val="24"/>
          <w:szCs w:val="24"/>
        </w:rPr>
        <w:t>most groups in terms of well-being. A positive economic impact is expected for younger people who are more likely than other age cohorts to work in the sector.</w:t>
      </w:r>
      <w:r w:rsidR="0051092B">
        <w:rPr>
          <w:rFonts w:ascii="Arial" w:hAnsi="Arial" w:cs="Arial"/>
          <w:color w:val="000000" w:themeColor="text1"/>
          <w:sz w:val="24"/>
          <w:szCs w:val="24"/>
        </w:rPr>
        <w:t xml:space="preserve">  </w:t>
      </w:r>
    </w:p>
    <w:tbl>
      <w:tblPr>
        <w:tblStyle w:val="GridTabl"/>
        <w:tblW w:w="9640" w:type="dxa"/>
        <w:tblInd w:w="-34" w:type="dxa"/>
        <w:tblLook w:val="04A0" w:firstRow="1" w:lastRow="0" w:firstColumn="1" w:lastColumn="0" w:noHBand="0" w:noVBand="1"/>
      </w:tblPr>
      <w:tblGrid>
        <w:gridCol w:w="1777"/>
        <w:gridCol w:w="2623"/>
        <w:gridCol w:w="2622"/>
        <w:gridCol w:w="2618"/>
      </w:tblGrid>
      <w:tr w:rsidR="001C4E5E" w:rsidRPr="00FA713F" w14:paraId="3D36F090" w14:textId="77777777" w:rsidTr="001E537D">
        <w:trPr>
          <w:cantSplit/>
          <w:trHeight w:val="1173"/>
          <w:tblHeader/>
        </w:trPr>
        <w:tc>
          <w:tcPr>
            <w:tcW w:w="1777" w:type="dxa"/>
            <w:tcBorders>
              <w:bottom w:val="single" w:sz="4" w:space="0" w:color="auto"/>
            </w:tcBorders>
            <w:shd w:val="clear" w:color="auto" w:fill="D9D9D9" w:themeFill="background1" w:themeFillShade="D9"/>
          </w:tcPr>
          <w:p w14:paraId="0FA53373" w14:textId="77777777" w:rsidR="001C4E5E" w:rsidRPr="00FA713F" w:rsidRDefault="001C4E5E" w:rsidP="001E537D">
            <w:pPr>
              <w:rPr>
                <w:rFonts w:cs="Arial"/>
                <w:b/>
                <w:i/>
                <w:color w:val="000000" w:themeColor="text1"/>
              </w:rPr>
            </w:pPr>
            <w:r w:rsidRPr="00FA713F">
              <w:rPr>
                <w:rFonts w:cs="Arial"/>
                <w:b/>
                <w:i/>
                <w:color w:val="000000" w:themeColor="text1"/>
              </w:rPr>
              <w:t>Protected characteristic or group</w:t>
            </w:r>
          </w:p>
        </w:tc>
        <w:tc>
          <w:tcPr>
            <w:tcW w:w="2623" w:type="dxa"/>
            <w:shd w:val="clear" w:color="auto" w:fill="D9D9D9" w:themeFill="background1" w:themeFillShade="D9"/>
          </w:tcPr>
          <w:p w14:paraId="4FB3773A" w14:textId="77777777" w:rsidR="001C4E5E" w:rsidRPr="00FA713F" w:rsidRDefault="001C4E5E" w:rsidP="001E537D">
            <w:pPr>
              <w:rPr>
                <w:rFonts w:cs="Arial"/>
                <w:b/>
                <w:i/>
                <w:color w:val="000000" w:themeColor="text1"/>
              </w:rPr>
            </w:pPr>
            <w:r w:rsidRPr="00FA713F">
              <w:rPr>
                <w:rFonts w:cs="Arial"/>
                <w:b/>
                <w:i/>
                <w:color w:val="000000" w:themeColor="text1"/>
              </w:rPr>
              <w:t>What are the positive or negative impacts of the proposal?</w:t>
            </w:r>
          </w:p>
        </w:tc>
        <w:tc>
          <w:tcPr>
            <w:tcW w:w="2622" w:type="dxa"/>
            <w:shd w:val="clear" w:color="auto" w:fill="D9D9D9" w:themeFill="background1" w:themeFillShade="D9"/>
          </w:tcPr>
          <w:p w14:paraId="32F1CB9B" w14:textId="77777777" w:rsidR="001C4E5E" w:rsidRPr="00FA713F" w:rsidRDefault="001C4E5E" w:rsidP="001E537D">
            <w:pPr>
              <w:rPr>
                <w:rFonts w:cs="Arial"/>
                <w:b/>
                <w:i/>
                <w:color w:val="000000" w:themeColor="text1"/>
              </w:rPr>
            </w:pPr>
            <w:r w:rsidRPr="00FA713F">
              <w:rPr>
                <w:rFonts w:cs="Arial"/>
                <w:b/>
                <w:bCs/>
                <w:i/>
                <w:color w:val="000000" w:themeColor="text1"/>
              </w:rPr>
              <w:t xml:space="preserve">Reasons for your decision (including evidence) </w:t>
            </w:r>
          </w:p>
        </w:tc>
        <w:tc>
          <w:tcPr>
            <w:tcW w:w="2618" w:type="dxa"/>
            <w:shd w:val="clear" w:color="auto" w:fill="D9D9D9" w:themeFill="background1" w:themeFillShade="D9"/>
          </w:tcPr>
          <w:p w14:paraId="011CC37E" w14:textId="77777777" w:rsidR="001C4E5E" w:rsidRPr="00FA713F" w:rsidRDefault="001C4E5E" w:rsidP="001E537D">
            <w:pPr>
              <w:rPr>
                <w:rFonts w:cs="Arial"/>
                <w:b/>
                <w:i/>
                <w:color w:val="000000" w:themeColor="text1"/>
              </w:rPr>
            </w:pPr>
            <w:r w:rsidRPr="00FA713F">
              <w:rPr>
                <w:rFonts w:cs="Arial"/>
                <w:b/>
                <w:i/>
                <w:color w:val="000000" w:themeColor="text1"/>
              </w:rPr>
              <w:t>How will you mitigate Impacts?</w:t>
            </w:r>
          </w:p>
          <w:p w14:paraId="47846581" w14:textId="77777777" w:rsidR="001C4E5E" w:rsidRPr="00FA713F" w:rsidRDefault="001C4E5E" w:rsidP="001E537D">
            <w:pPr>
              <w:rPr>
                <w:rFonts w:cs="Arial"/>
                <w:b/>
                <w:i/>
                <w:color w:val="000000" w:themeColor="text1"/>
              </w:rPr>
            </w:pPr>
          </w:p>
        </w:tc>
      </w:tr>
      <w:tr w:rsidR="001C4E5E" w:rsidRPr="001C4E5E" w14:paraId="0B47BDE0" w14:textId="77777777" w:rsidTr="001E537D">
        <w:trPr>
          <w:cantSplit/>
        </w:trPr>
        <w:tc>
          <w:tcPr>
            <w:tcW w:w="1777" w:type="dxa"/>
            <w:shd w:val="clear" w:color="auto" w:fill="F2F2F2" w:themeFill="background1" w:themeFillShade="F2"/>
          </w:tcPr>
          <w:p w14:paraId="7FB79C6D" w14:textId="77777777" w:rsidR="001C4E5E" w:rsidRPr="00FA713F" w:rsidRDefault="001C4E5E" w:rsidP="001E537D">
            <w:pPr>
              <w:rPr>
                <w:rFonts w:cs="Arial"/>
                <w:i/>
                <w:color w:val="000000" w:themeColor="text1"/>
              </w:rPr>
            </w:pPr>
            <w:r w:rsidRPr="00FA713F">
              <w:rPr>
                <w:rFonts w:cs="Arial"/>
                <w:i/>
                <w:color w:val="000000" w:themeColor="text1"/>
              </w:rPr>
              <w:t>Age (think about different age groups)</w:t>
            </w:r>
          </w:p>
        </w:tc>
        <w:tc>
          <w:tcPr>
            <w:tcW w:w="2623" w:type="dxa"/>
          </w:tcPr>
          <w:p w14:paraId="41F8F2D1" w14:textId="77777777" w:rsidR="001C4E5E" w:rsidRPr="001C4E5E" w:rsidRDefault="001C4E5E" w:rsidP="001E537D">
            <w:pPr>
              <w:rPr>
                <w:rFonts w:cs="Arial"/>
                <w:color w:val="000000" w:themeColor="text1"/>
              </w:rPr>
            </w:pPr>
            <w:r w:rsidRPr="00C04A86">
              <w:rPr>
                <w:rFonts w:cs="Arial"/>
                <w:b/>
                <w:color w:val="000000" w:themeColor="text1"/>
              </w:rPr>
              <w:t>Positive:</w:t>
            </w:r>
            <w:r w:rsidRPr="001C4E5E">
              <w:rPr>
                <w:rFonts w:cs="Arial"/>
                <w:color w:val="000000" w:themeColor="text1"/>
              </w:rPr>
              <w:t xml:space="preserve"> Younger cohorts of the population are significantly more likely to work within this sector in Wales than older cohorts, therefore opening sector could have positive distributional impacts if it prevents potential job losses and increases household incomes by transferring individuals off the UK’s Job Retention Scheme. This cohort currently represents the age group most at risk from an economic downturn.</w:t>
            </w:r>
          </w:p>
          <w:p w14:paraId="06880117" w14:textId="77777777" w:rsidR="001C4E5E" w:rsidRPr="001C4E5E" w:rsidRDefault="001C4E5E" w:rsidP="001E537D">
            <w:pPr>
              <w:rPr>
                <w:rFonts w:cs="Arial"/>
                <w:color w:val="000000" w:themeColor="text1"/>
                <w:highlight w:val="yellow"/>
              </w:rPr>
            </w:pPr>
          </w:p>
          <w:p w14:paraId="2A9E7592" w14:textId="77777777" w:rsidR="001C4E5E" w:rsidRPr="001C4E5E" w:rsidRDefault="001C4E5E" w:rsidP="001E537D">
            <w:pPr>
              <w:rPr>
                <w:rFonts w:cs="Arial"/>
                <w:color w:val="000000" w:themeColor="text1"/>
                <w:highlight w:val="yellow"/>
              </w:rPr>
            </w:pPr>
          </w:p>
        </w:tc>
        <w:tc>
          <w:tcPr>
            <w:tcW w:w="2622" w:type="dxa"/>
          </w:tcPr>
          <w:p w14:paraId="1C112DF2" w14:textId="77777777" w:rsidR="001C4E5E" w:rsidRPr="001C4E5E" w:rsidRDefault="001C4E5E" w:rsidP="001E537D">
            <w:pPr>
              <w:rPr>
                <w:rFonts w:cs="Arial"/>
                <w:szCs w:val="24"/>
                <w:highlight w:val="yellow"/>
              </w:rPr>
            </w:pPr>
            <w:r w:rsidRPr="001C4E5E">
              <w:rPr>
                <w:rFonts w:cs="Arial"/>
                <w:szCs w:val="24"/>
              </w:rPr>
              <w:t>Analysis by Welsh Government of  Annual Population Survey (APS) data for 2019 shows that 31% of workers in the sports activities sector in Wales are under the age of 25 (while this age group only represents 12% of workforce).</w:t>
            </w:r>
          </w:p>
        </w:tc>
        <w:tc>
          <w:tcPr>
            <w:tcW w:w="2618" w:type="dxa"/>
          </w:tcPr>
          <w:p w14:paraId="5A1C5077" w14:textId="77777777" w:rsidR="001C4E5E" w:rsidRPr="001C4E5E" w:rsidRDefault="001C4E5E" w:rsidP="001E537D">
            <w:pPr>
              <w:rPr>
                <w:rFonts w:cs="Arial"/>
                <w:color w:val="000000" w:themeColor="text1"/>
                <w:highlight w:val="yellow"/>
              </w:rPr>
            </w:pPr>
            <w:r w:rsidRPr="001C4E5E">
              <w:rPr>
                <w:rFonts w:cs="Arial"/>
                <w:color w:val="000000" w:themeColor="text1"/>
              </w:rPr>
              <w:t xml:space="preserve">The proposal to allow reopening of these facilities will allow revenue generation to begin, which would support the return from furlough and continuation of employment when the Job Retention Scheme ends. </w:t>
            </w:r>
          </w:p>
        </w:tc>
      </w:tr>
      <w:tr w:rsidR="001C4E5E" w:rsidRPr="001C4E5E" w14:paraId="30C191E1" w14:textId="77777777" w:rsidTr="001E537D">
        <w:trPr>
          <w:cantSplit/>
        </w:trPr>
        <w:tc>
          <w:tcPr>
            <w:tcW w:w="1777" w:type="dxa"/>
            <w:shd w:val="clear" w:color="auto" w:fill="F2F2F2" w:themeFill="background1" w:themeFillShade="F2"/>
          </w:tcPr>
          <w:p w14:paraId="5A4BE947" w14:textId="77777777" w:rsidR="001C4E5E" w:rsidRPr="00FA713F" w:rsidRDefault="001C4E5E" w:rsidP="001E537D">
            <w:pPr>
              <w:rPr>
                <w:rFonts w:cs="Arial"/>
                <w:i/>
                <w:color w:val="000000" w:themeColor="text1"/>
              </w:rPr>
            </w:pPr>
            <w:r w:rsidRPr="00FA713F">
              <w:rPr>
                <w:rFonts w:cs="Arial"/>
                <w:i/>
                <w:color w:val="000000" w:themeColor="text1"/>
              </w:rPr>
              <w:lastRenderedPageBreak/>
              <w:t>Disability (think about different types of disability)</w:t>
            </w:r>
          </w:p>
        </w:tc>
        <w:tc>
          <w:tcPr>
            <w:tcW w:w="2623" w:type="dxa"/>
          </w:tcPr>
          <w:p w14:paraId="2D413DC2" w14:textId="6C551B97" w:rsidR="001C4E5E" w:rsidRPr="001C4E5E" w:rsidRDefault="00FE7694" w:rsidP="00FE7694">
            <w:pPr>
              <w:rPr>
                <w:rFonts w:cs="Arial"/>
                <w:color w:val="000000" w:themeColor="text1"/>
              </w:rPr>
            </w:pPr>
            <w:r w:rsidRPr="00FE7694">
              <w:rPr>
                <w:rFonts w:cs="Arial"/>
                <w:b/>
                <w:color w:val="000000" w:themeColor="text1"/>
              </w:rPr>
              <w:t>Ne</w:t>
            </w:r>
            <w:r>
              <w:rPr>
                <w:rFonts w:cs="Arial"/>
                <w:b/>
                <w:color w:val="000000" w:themeColor="text1"/>
              </w:rPr>
              <w:t>utral</w:t>
            </w:r>
            <w:r w:rsidRPr="00FE7694">
              <w:rPr>
                <w:rFonts w:cs="Arial"/>
                <w:b/>
                <w:color w:val="000000" w:themeColor="text1"/>
              </w:rPr>
              <w:t>:</w:t>
            </w:r>
            <w:r>
              <w:rPr>
                <w:rFonts w:cs="Arial"/>
                <w:color w:val="000000" w:themeColor="text1"/>
              </w:rPr>
              <w:t xml:space="preserve"> </w:t>
            </w:r>
            <w:r w:rsidR="001C4E5E" w:rsidRPr="001C4E5E">
              <w:rPr>
                <w:rFonts w:cs="Arial"/>
                <w:color w:val="000000" w:themeColor="text1"/>
              </w:rPr>
              <w:t xml:space="preserve">Disabled employees and customers may require additional support to enable them return to work or to participate in resumed physical activities whilst coronavirus restrictions and measures to minimise virus transmission remain in place. </w:t>
            </w:r>
          </w:p>
        </w:tc>
        <w:tc>
          <w:tcPr>
            <w:tcW w:w="2622" w:type="dxa"/>
          </w:tcPr>
          <w:p w14:paraId="3AEB03B5" w14:textId="77777777" w:rsidR="001C4E5E" w:rsidRPr="001C4E5E" w:rsidRDefault="001C4E5E" w:rsidP="001E537D">
            <w:pPr>
              <w:rPr>
                <w:rFonts w:cs="Arial"/>
                <w:color w:val="000000" w:themeColor="text1"/>
              </w:rPr>
            </w:pPr>
            <w:r w:rsidRPr="001C4E5E">
              <w:rPr>
                <w:rFonts w:cs="Arial"/>
                <w:color w:val="000000" w:themeColor="text1"/>
              </w:rPr>
              <w:t>Analysis of APS data for 2019 suggests that disabled people represent 15% of the workforce for the Sports Activities sector (this group represents 15% of the wider workforce).</w:t>
            </w:r>
          </w:p>
          <w:p w14:paraId="64FA147D" w14:textId="77777777" w:rsidR="001C4E5E" w:rsidRPr="001C4E5E" w:rsidRDefault="001C4E5E" w:rsidP="001E537D">
            <w:pPr>
              <w:rPr>
                <w:rFonts w:cs="Arial"/>
                <w:color w:val="000000" w:themeColor="text1"/>
              </w:rPr>
            </w:pPr>
          </w:p>
          <w:p w14:paraId="68F0E22A" w14:textId="77777777" w:rsidR="001C4E5E" w:rsidRPr="001C4E5E" w:rsidRDefault="001C4E5E" w:rsidP="001E537D">
            <w:pPr>
              <w:rPr>
                <w:rFonts w:cs="Arial"/>
                <w:color w:val="000000" w:themeColor="text1"/>
              </w:rPr>
            </w:pPr>
            <w:r w:rsidRPr="001C4E5E">
              <w:rPr>
                <w:rFonts w:cs="Arial"/>
                <w:color w:val="000000" w:themeColor="text1"/>
              </w:rPr>
              <w:t>Specific data is not available, but it is likely that the sections of the population that can now return from shielding will constitute a significant proportion of the demand for the activities resuming at indoor leisure facilities, including people with disabilities who have been required to shield.</w:t>
            </w:r>
          </w:p>
        </w:tc>
        <w:tc>
          <w:tcPr>
            <w:tcW w:w="2618" w:type="dxa"/>
          </w:tcPr>
          <w:p w14:paraId="7C214E87" w14:textId="0A42C255" w:rsidR="001C4E5E" w:rsidRPr="001C4E5E" w:rsidRDefault="00FE7694" w:rsidP="001E537D">
            <w:pPr>
              <w:rPr>
                <w:rFonts w:cs="Arial"/>
                <w:color w:val="000000" w:themeColor="text1"/>
              </w:rPr>
            </w:pPr>
            <w:r w:rsidRPr="00FE7694">
              <w:rPr>
                <w:rFonts w:cs="Arial"/>
                <w:b/>
                <w:color w:val="000000" w:themeColor="text1"/>
              </w:rPr>
              <w:t>Mitigation:</w:t>
            </w:r>
            <w:r>
              <w:rPr>
                <w:rFonts w:cs="Arial"/>
                <w:color w:val="000000" w:themeColor="text1"/>
              </w:rPr>
              <w:t xml:space="preserve"> </w:t>
            </w:r>
            <w:r w:rsidR="001C4E5E" w:rsidRPr="001C4E5E">
              <w:rPr>
                <w:rFonts w:cs="Arial"/>
                <w:color w:val="000000" w:themeColor="text1"/>
              </w:rPr>
              <w:t>Employers will need to consider all reasonable measures they can implement to support and protect disabled employees in their workplace.</w:t>
            </w:r>
          </w:p>
          <w:p w14:paraId="24CE991D" w14:textId="77777777" w:rsidR="001C4E5E" w:rsidRPr="001C4E5E" w:rsidRDefault="001C4E5E" w:rsidP="001E537D">
            <w:pPr>
              <w:rPr>
                <w:rFonts w:cs="Arial"/>
                <w:color w:val="000000" w:themeColor="text1"/>
              </w:rPr>
            </w:pPr>
          </w:p>
          <w:p w14:paraId="24D4C1FB" w14:textId="77777777" w:rsidR="001C4E5E" w:rsidRPr="001C4E5E" w:rsidRDefault="001C4E5E" w:rsidP="001E537D">
            <w:pPr>
              <w:rPr>
                <w:rFonts w:cs="Arial"/>
                <w:color w:val="000000" w:themeColor="text1"/>
              </w:rPr>
            </w:pPr>
            <w:r w:rsidRPr="001C4E5E">
              <w:rPr>
                <w:rFonts w:cs="Arial"/>
                <w:color w:val="000000" w:themeColor="text1"/>
              </w:rPr>
              <w:t>Guidance will suggest that operators should consider whether there is scope to provide priority for disabled/ shielding people at leisure centres, e.g. could allotted timeslots be provided?</w:t>
            </w:r>
          </w:p>
          <w:p w14:paraId="112288DD" w14:textId="77777777" w:rsidR="001C4E5E" w:rsidRPr="001C4E5E" w:rsidRDefault="001C4E5E" w:rsidP="001E537D">
            <w:pPr>
              <w:rPr>
                <w:rFonts w:cs="Arial"/>
                <w:color w:val="000000" w:themeColor="text1"/>
              </w:rPr>
            </w:pPr>
          </w:p>
          <w:p w14:paraId="74E92F1E" w14:textId="77777777" w:rsidR="001C4E5E" w:rsidRPr="001C4E5E" w:rsidRDefault="001C4E5E" w:rsidP="001E537D">
            <w:pPr>
              <w:rPr>
                <w:rFonts w:cs="Arial"/>
                <w:color w:val="000000" w:themeColor="text1"/>
                <w:highlight w:val="yellow"/>
              </w:rPr>
            </w:pPr>
            <w:r w:rsidRPr="001C4E5E">
              <w:rPr>
                <w:rFonts w:cs="Arial"/>
                <w:color w:val="000000" w:themeColor="text1"/>
              </w:rPr>
              <w:t>We will also explore whether it is appropriate in guidance (given the requirements in regulation) to suggest that operators look to implement sufficient alternative mitigations to allow staff / trained volunteers to support disabled participants where necessary (either within 2m or via direct physical contact where this is essential), so that wherever possible they will have equal access to activities.</w:t>
            </w:r>
          </w:p>
        </w:tc>
      </w:tr>
      <w:tr w:rsidR="001C4E5E" w:rsidRPr="001C4E5E" w14:paraId="3654865B" w14:textId="77777777" w:rsidTr="001E537D">
        <w:trPr>
          <w:cantSplit/>
        </w:trPr>
        <w:tc>
          <w:tcPr>
            <w:tcW w:w="1777" w:type="dxa"/>
            <w:shd w:val="clear" w:color="auto" w:fill="F2F2F2" w:themeFill="background1" w:themeFillShade="F2"/>
          </w:tcPr>
          <w:p w14:paraId="0D062182" w14:textId="77777777" w:rsidR="001C4E5E" w:rsidRPr="00FA713F" w:rsidRDefault="001C4E5E" w:rsidP="001E537D">
            <w:pPr>
              <w:rPr>
                <w:rFonts w:cs="Arial"/>
                <w:i/>
                <w:color w:val="000000" w:themeColor="text1"/>
              </w:rPr>
            </w:pPr>
            <w:r w:rsidRPr="00FA713F">
              <w:rPr>
                <w:rFonts w:cs="Arial"/>
                <w:i/>
                <w:color w:val="000000" w:themeColor="text1"/>
              </w:rPr>
              <w:t>Gender Reassignment (the act of transitioning and Transgender people)</w:t>
            </w:r>
          </w:p>
        </w:tc>
        <w:tc>
          <w:tcPr>
            <w:tcW w:w="2623" w:type="dxa"/>
          </w:tcPr>
          <w:p w14:paraId="3F40379E" w14:textId="77777777" w:rsidR="001C4E5E" w:rsidRPr="001C4E5E" w:rsidRDefault="001C4E5E" w:rsidP="001E537D">
            <w:pPr>
              <w:rPr>
                <w:rFonts w:cs="Arial"/>
                <w:color w:val="000000" w:themeColor="text1"/>
              </w:rPr>
            </w:pPr>
            <w:r w:rsidRPr="001C4E5E">
              <w:rPr>
                <w:rFonts w:cs="Arial"/>
                <w:color w:val="000000" w:themeColor="text1"/>
              </w:rPr>
              <w:t>No differential impact identified.</w:t>
            </w:r>
          </w:p>
        </w:tc>
        <w:tc>
          <w:tcPr>
            <w:tcW w:w="2622" w:type="dxa"/>
          </w:tcPr>
          <w:p w14:paraId="1DA27581" w14:textId="77777777" w:rsidR="001C4E5E" w:rsidRPr="001C4E5E" w:rsidRDefault="001C4E5E" w:rsidP="001E537D">
            <w:pPr>
              <w:rPr>
                <w:rFonts w:cs="Arial"/>
                <w:color w:val="000000" w:themeColor="text1"/>
              </w:rPr>
            </w:pPr>
          </w:p>
        </w:tc>
        <w:tc>
          <w:tcPr>
            <w:tcW w:w="2618" w:type="dxa"/>
          </w:tcPr>
          <w:p w14:paraId="7C8285D0" w14:textId="77777777" w:rsidR="001C4E5E" w:rsidRPr="001C4E5E" w:rsidRDefault="001C4E5E" w:rsidP="001E537D">
            <w:pPr>
              <w:rPr>
                <w:rFonts w:cs="Arial"/>
                <w:color w:val="000000" w:themeColor="text1"/>
              </w:rPr>
            </w:pPr>
          </w:p>
        </w:tc>
      </w:tr>
      <w:tr w:rsidR="001C4E5E" w:rsidRPr="001C4E5E" w14:paraId="62534374" w14:textId="77777777" w:rsidTr="001E537D">
        <w:trPr>
          <w:cantSplit/>
        </w:trPr>
        <w:tc>
          <w:tcPr>
            <w:tcW w:w="1777" w:type="dxa"/>
            <w:shd w:val="clear" w:color="auto" w:fill="F2F2F2" w:themeFill="background1" w:themeFillShade="F2"/>
          </w:tcPr>
          <w:p w14:paraId="63B32C65" w14:textId="77777777" w:rsidR="001C4E5E" w:rsidRPr="00FA713F" w:rsidRDefault="001C4E5E" w:rsidP="001E537D">
            <w:pPr>
              <w:rPr>
                <w:rFonts w:cs="Arial"/>
                <w:i/>
                <w:color w:val="000000" w:themeColor="text1"/>
              </w:rPr>
            </w:pPr>
            <w:r w:rsidRPr="00FA713F">
              <w:rPr>
                <w:rFonts w:cs="Arial"/>
                <w:i/>
                <w:color w:val="000000" w:themeColor="text1"/>
              </w:rPr>
              <w:t>Pregnancy and maternity</w:t>
            </w:r>
          </w:p>
        </w:tc>
        <w:tc>
          <w:tcPr>
            <w:tcW w:w="2623" w:type="dxa"/>
          </w:tcPr>
          <w:p w14:paraId="6BBB08A3" w14:textId="77777777" w:rsidR="001C4E5E" w:rsidRPr="001C4E5E" w:rsidRDefault="001C4E5E" w:rsidP="001E537D">
            <w:pPr>
              <w:rPr>
                <w:rFonts w:cs="Arial"/>
                <w:color w:val="000000" w:themeColor="text1"/>
              </w:rPr>
            </w:pPr>
            <w:r w:rsidRPr="001C4E5E">
              <w:rPr>
                <w:rFonts w:cs="Arial"/>
                <w:color w:val="000000" w:themeColor="text1"/>
              </w:rPr>
              <w:t>No differential impact identified.</w:t>
            </w:r>
          </w:p>
          <w:p w14:paraId="01474F47" w14:textId="77777777" w:rsidR="001C4E5E" w:rsidRPr="001C4E5E" w:rsidRDefault="001C4E5E" w:rsidP="001E537D">
            <w:pPr>
              <w:rPr>
                <w:rFonts w:cs="Arial"/>
                <w:color w:val="000000" w:themeColor="text1"/>
                <w:highlight w:val="yellow"/>
              </w:rPr>
            </w:pPr>
          </w:p>
        </w:tc>
        <w:tc>
          <w:tcPr>
            <w:tcW w:w="2622" w:type="dxa"/>
          </w:tcPr>
          <w:p w14:paraId="27B90639" w14:textId="77777777" w:rsidR="001C4E5E" w:rsidRPr="001C4E5E" w:rsidRDefault="001C4E5E" w:rsidP="001E537D">
            <w:pPr>
              <w:rPr>
                <w:rFonts w:cs="Arial"/>
                <w:color w:val="000000" w:themeColor="text1"/>
                <w:highlight w:val="yellow"/>
              </w:rPr>
            </w:pPr>
          </w:p>
        </w:tc>
        <w:tc>
          <w:tcPr>
            <w:tcW w:w="2618" w:type="dxa"/>
          </w:tcPr>
          <w:p w14:paraId="003091BA" w14:textId="77777777" w:rsidR="001C4E5E" w:rsidRPr="001C4E5E" w:rsidRDefault="001C4E5E" w:rsidP="001E537D">
            <w:pPr>
              <w:rPr>
                <w:rFonts w:cs="Arial"/>
                <w:color w:val="000000" w:themeColor="text1"/>
                <w:highlight w:val="yellow"/>
              </w:rPr>
            </w:pPr>
          </w:p>
        </w:tc>
      </w:tr>
      <w:tr w:rsidR="00EF52D8" w:rsidRPr="001C4E5E" w14:paraId="3161F330" w14:textId="77777777" w:rsidTr="001E537D">
        <w:trPr>
          <w:cantSplit/>
        </w:trPr>
        <w:tc>
          <w:tcPr>
            <w:tcW w:w="1777" w:type="dxa"/>
            <w:shd w:val="clear" w:color="auto" w:fill="F2F2F2" w:themeFill="background1" w:themeFillShade="F2"/>
          </w:tcPr>
          <w:p w14:paraId="2F4FA826" w14:textId="77777777" w:rsidR="00EF52D8" w:rsidRPr="00FA713F" w:rsidRDefault="00EF52D8" w:rsidP="00EF52D8">
            <w:pPr>
              <w:rPr>
                <w:rFonts w:cs="Arial"/>
                <w:i/>
                <w:color w:val="000000" w:themeColor="text1"/>
              </w:rPr>
            </w:pPr>
            <w:r w:rsidRPr="00FA713F">
              <w:rPr>
                <w:rFonts w:cs="Arial"/>
                <w:i/>
                <w:color w:val="000000" w:themeColor="text1"/>
              </w:rPr>
              <w:lastRenderedPageBreak/>
              <w:t>Race (include different ethnic minorities, Gypsies and Travellers and Migrants, Asylum seekers and Refugees)</w:t>
            </w:r>
          </w:p>
        </w:tc>
        <w:tc>
          <w:tcPr>
            <w:tcW w:w="2623" w:type="dxa"/>
          </w:tcPr>
          <w:p w14:paraId="07B2CFA1" w14:textId="77777777" w:rsidR="00EF52D8" w:rsidRPr="00C169E8" w:rsidRDefault="00EF52D8" w:rsidP="00EF52D8">
            <w:pPr>
              <w:rPr>
                <w:rFonts w:asciiTheme="minorHAnsi" w:hAnsiTheme="minorHAnsi" w:cstheme="minorHAnsi"/>
                <w:color w:val="000000" w:themeColor="text1"/>
              </w:rPr>
            </w:pPr>
            <w:r w:rsidRPr="00C169E8">
              <w:rPr>
                <w:rFonts w:asciiTheme="minorHAnsi" w:hAnsiTheme="minorHAnsi" w:cstheme="minorHAnsi"/>
                <w:b/>
                <w:color w:val="000000" w:themeColor="text1"/>
              </w:rPr>
              <w:t>Positive</w:t>
            </w:r>
            <w:r w:rsidRPr="00C169E8">
              <w:rPr>
                <w:rFonts w:asciiTheme="minorHAnsi" w:hAnsiTheme="minorHAnsi" w:cstheme="minorHAnsi"/>
                <w:color w:val="000000" w:themeColor="text1"/>
              </w:rPr>
              <w:t xml:space="preserve">: BAME population more likely to work within this sector in Wales than white population, therefore opening sector could have positive distributional impacts if it prevents potential job losses and increases household incomes by transferring individuals off the UK’s Job Retention Scheme. </w:t>
            </w:r>
          </w:p>
          <w:p w14:paraId="71D406E3" w14:textId="77777777" w:rsidR="00EF52D8" w:rsidRPr="00C169E8" w:rsidRDefault="00EF52D8" w:rsidP="00EF52D8">
            <w:pPr>
              <w:rPr>
                <w:rFonts w:asciiTheme="minorHAnsi" w:hAnsiTheme="minorHAnsi" w:cstheme="minorHAnsi"/>
                <w:color w:val="000000" w:themeColor="text1"/>
              </w:rPr>
            </w:pPr>
          </w:p>
          <w:p w14:paraId="1DF292AC" w14:textId="6E192387" w:rsidR="00EF52D8" w:rsidRPr="001C4E5E" w:rsidRDefault="00EF52D8" w:rsidP="00EF52D8">
            <w:pPr>
              <w:rPr>
                <w:rFonts w:cs="Arial"/>
                <w:color w:val="000000" w:themeColor="text1"/>
                <w:highlight w:val="yellow"/>
              </w:rPr>
            </w:pPr>
            <w:r w:rsidRPr="00C169E8">
              <w:rPr>
                <w:rFonts w:asciiTheme="minorHAnsi" w:hAnsiTheme="minorHAnsi" w:cstheme="minorHAnsi"/>
                <w:b/>
                <w:color w:val="000000" w:themeColor="text1"/>
              </w:rPr>
              <w:t>Negative</w:t>
            </w:r>
            <w:r w:rsidRPr="00C169E8">
              <w:rPr>
                <w:rFonts w:asciiTheme="minorHAnsi" w:hAnsiTheme="minorHAnsi" w:cstheme="minorHAnsi"/>
                <w:color w:val="000000" w:themeColor="text1"/>
              </w:rPr>
              <w:t>: BAME groups may be disproportionately at risk of negative health outcomes should they contract Covid-19, which should be considered for both staff and customers of the sector.</w:t>
            </w:r>
          </w:p>
        </w:tc>
        <w:tc>
          <w:tcPr>
            <w:tcW w:w="2622" w:type="dxa"/>
          </w:tcPr>
          <w:p w14:paraId="7DF1944B" w14:textId="77777777" w:rsidR="00EF52D8" w:rsidRPr="001C4E5E" w:rsidRDefault="00EF52D8" w:rsidP="00EF52D8">
            <w:pPr>
              <w:rPr>
                <w:rFonts w:cs="Arial"/>
                <w:color w:val="000000" w:themeColor="text1"/>
                <w:highlight w:val="yellow"/>
              </w:rPr>
            </w:pPr>
            <w:r w:rsidRPr="001C4E5E">
              <w:rPr>
                <w:rFonts w:cs="Arial"/>
                <w:szCs w:val="24"/>
              </w:rPr>
              <w:t>Analysis of APS data for 2019 estimates that 8% of the workforce within the Sports Activities sector are BAME, while this group represents 5% of the overall Welsh workforce.</w:t>
            </w:r>
          </w:p>
        </w:tc>
        <w:tc>
          <w:tcPr>
            <w:tcW w:w="2618" w:type="dxa"/>
          </w:tcPr>
          <w:p w14:paraId="37D2E9D9" w14:textId="191CA307" w:rsidR="00EF52D8" w:rsidRPr="00EF52D8" w:rsidRDefault="00EF52D8" w:rsidP="00EF52D8">
            <w:pPr>
              <w:rPr>
                <w:rFonts w:cs="Arial"/>
                <w:color w:val="000000" w:themeColor="text1"/>
              </w:rPr>
            </w:pPr>
            <w:r w:rsidRPr="00EF52D8">
              <w:rPr>
                <w:rFonts w:cs="Arial"/>
                <w:b/>
                <w:color w:val="000000" w:themeColor="text1"/>
              </w:rPr>
              <w:t>Mitigation:</w:t>
            </w:r>
            <w:r>
              <w:rPr>
                <w:rFonts w:cs="Arial"/>
                <w:b/>
                <w:color w:val="000000" w:themeColor="text1"/>
              </w:rPr>
              <w:t xml:space="preserve"> </w:t>
            </w:r>
            <w:r w:rsidRPr="001C4E5E">
              <w:rPr>
                <w:rFonts w:cs="Arial"/>
                <w:color w:val="000000" w:themeColor="text1"/>
              </w:rPr>
              <w:t>Employers will need to consider all reasonable measures they can implement to support and protect disabled employees in their workplace.</w:t>
            </w:r>
          </w:p>
        </w:tc>
      </w:tr>
      <w:tr w:rsidR="00EF52D8" w:rsidRPr="001C4E5E" w14:paraId="02D22BD3" w14:textId="77777777" w:rsidTr="001E537D">
        <w:trPr>
          <w:cantSplit/>
        </w:trPr>
        <w:tc>
          <w:tcPr>
            <w:tcW w:w="1777" w:type="dxa"/>
            <w:shd w:val="clear" w:color="auto" w:fill="F2F2F2" w:themeFill="background1" w:themeFillShade="F2"/>
          </w:tcPr>
          <w:p w14:paraId="15BB4B9C" w14:textId="77777777" w:rsidR="00EF52D8" w:rsidRPr="00FA713F" w:rsidRDefault="00EF52D8" w:rsidP="00EF52D8">
            <w:pPr>
              <w:rPr>
                <w:rFonts w:cs="Arial"/>
                <w:i/>
                <w:color w:val="000000" w:themeColor="text1"/>
              </w:rPr>
            </w:pPr>
            <w:r w:rsidRPr="00FA713F">
              <w:rPr>
                <w:rFonts w:cs="Arial"/>
                <w:i/>
                <w:color w:val="000000" w:themeColor="text1"/>
              </w:rPr>
              <w:t>Religion, belief and non-belief</w:t>
            </w:r>
          </w:p>
        </w:tc>
        <w:tc>
          <w:tcPr>
            <w:tcW w:w="2623" w:type="dxa"/>
          </w:tcPr>
          <w:p w14:paraId="4D506AF9" w14:textId="77777777" w:rsidR="00EF52D8" w:rsidRPr="001C4E5E" w:rsidRDefault="00EF52D8" w:rsidP="00EF52D8">
            <w:pPr>
              <w:rPr>
                <w:rFonts w:cs="Arial"/>
                <w:color w:val="000000" w:themeColor="text1"/>
                <w:highlight w:val="yellow"/>
              </w:rPr>
            </w:pPr>
            <w:r w:rsidRPr="001C4E5E">
              <w:rPr>
                <w:rFonts w:cs="Arial"/>
                <w:color w:val="000000" w:themeColor="text1"/>
              </w:rPr>
              <w:t>No differential impact identified.</w:t>
            </w:r>
          </w:p>
        </w:tc>
        <w:tc>
          <w:tcPr>
            <w:tcW w:w="2622" w:type="dxa"/>
          </w:tcPr>
          <w:p w14:paraId="2124C15A" w14:textId="77777777" w:rsidR="00EF52D8" w:rsidRPr="001C4E5E" w:rsidRDefault="00EF52D8" w:rsidP="00EF52D8">
            <w:pPr>
              <w:rPr>
                <w:rFonts w:cs="Arial"/>
                <w:color w:val="000000" w:themeColor="text1"/>
                <w:highlight w:val="yellow"/>
              </w:rPr>
            </w:pPr>
          </w:p>
        </w:tc>
        <w:tc>
          <w:tcPr>
            <w:tcW w:w="2618" w:type="dxa"/>
          </w:tcPr>
          <w:p w14:paraId="1A1A6CF1" w14:textId="77777777" w:rsidR="00EF52D8" w:rsidRPr="001C4E5E" w:rsidRDefault="00EF52D8" w:rsidP="00EF52D8">
            <w:pPr>
              <w:rPr>
                <w:rFonts w:cs="Arial"/>
                <w:color w:val="000000" w:themeColor="text1"/>
                <w:highlight w:val="yellow"/>
              </w:rPr>
            </w:pPr>
          </w:p>
        </w:tc>
      </w:tr>
      <w:tr w:rsidR="00EF52D8" w:rsidRPr="001C4E5E" w14:paraId="57C38F77" w14:textId="77777777" w:rsidTr="001E537D">
        <w:trPr>
          <w:cantSplit/>
          <w:trHeight w:val="935"/>
        </w:trPr>
        <w:tc>
          <w:tcPr>
            <w:tcW w:w="1777" w:type="dxa"/>
            <w:shd w:val="clear" w:color="auto" w:fill="F2F2F2" w:themeFill="background1" w:themeFillShade="F2"/>
          </w:tcPr>
          <w:p w14:paraId="53E80210" w14:textId="77777777" w:rsidR="00EF52D8" w:rsidRPr="00FA713F" w:rsidRDefault="00EF52D8" w:rsidP="00EF52D8">
            <w:pPr>
              <w:rPr>
                <w:rFonts w:cs="Arial"/>
                <w:i/>
                <w:color w:val="000000" w:themeColor="text1"/>
              </w:rPr>
            </w:pPr>
            <w:r w:rsidRPr="00FA713F">
              <w:rPr>
                <w:rFonts w:cs="Arial"/>
                <w:i/>
                <w:color w:val="000000" w:themeColor="text1"/>
              </w:rPr>
              <w:t>Sex / Gender</w:t>
            </w:r>
          </w:p>
        </w:tc>
        <w:tc>
          <w:tcPr>
            <w:tcW w:w="2623" w:type="dxa"/>
          </w:tcPr>
          <w:p w14:paraId="06A3F370" w14:textId="77777777" w:rsidR="00EF52D8" w:rsidRPr="001C4E5E" w:rsidRDefault="00EF52D8" w:rsidP="00EF52D8">
            <w:pPr>
              <w:rPr>
                <w:rFonts w:cs="Arial"/>
                <w:color w:val="000000" w:themeColor="text1"/>
                <w:highlight w:val="yellow"/>
              </w:rPr>
            </w:pPr>
            <w:r w:rsidRPr="001C4E5E">
              <w:rPr>
                <w:rFonts w:cs="Arial"/>
                <w:color w:val="000000" w:themeColor="text1"/>
              </w:rPr>
              <w:t>No differential impacts identified.</w:t>
            </w:r>
          </w:p>
        </w:tc>
        <w:tc>
          <w:tcPr>
            <w:tcW w:w="2622" w:type="dxa"/>
          </w:tcPr>
          <w:p w14:paraId="5ABECF13" w14:textId="77777777" w:rsidR="00EF52D8" w:rsidRPr="001C4E5E" w:rsidRDefault="00EF52D8" w:rsidP="00EF52D8">
            <w:pPr>
              <w:rPr>
                <w:rFonts w:cs="Arial"/>
                <w:color w:val="000000" w:themeColor="text1"/>
              </w:rPr>
            </w:pPr>
            <w:r w:rsidRPr="001C4E5E">
              <w:rPr>
                <w:rFonts w:cs="Arial"/>
                <w:color w:val="000000" w:themeColor="text1"/>
              </w:rPr>
              <w:t>Analysis of APS data for 2019 estimates that 42% of workers in Wales within the Sports Activities sector are female, while women represent 47% of the total Welsh workforce.</w:t>
            </w:r>
          </w:p>
        </w:tc>
        <w:tc>
          <w:tcPr>
            <w:tcW w:w="2618" w:type="dxa"/>
          </w:tcPr>
          <w:p w14:paraId="651AFF5D" w14:textId="77777777" w:rsidR="00EF52D8" w:rsidRPr="001C4E5E" w:rsidRDefault="00EF52D8" w:rsidP="00EF52D8">
            <w:pPr>
              <w:rPr>
                <w:rFonts w:cs="Arial"/>
                <w:color w:val="000000" w:themeColor="text1"/>
              </w:rPr>
            </w:pPr>
          </w:p>
        </w:tc>
      </w:tr>
      <w:tr w:rsidR="00EF52D8" w:rsidRPr="001C4E5E" w14:paraId="178F6C7F" w14:textId="77777777" w:rsidTr="001E537D">
        <w:trPr>
          <w:cantSplit/>
        </w:trPr>
        <w:tc>
          <w:tcPr>
            <w:tcW w:w="1777" w:type="dxa"/>
            <w:shd w:val="clear" w:color="auto" w:fill="F2F2F2" w:themeFill="background1" w:themeFillShade="F2"/>
          </w:tcPr>
          <w:p w14:paraId="0463ABAA" w14:textId="77777777" w:rsidR="00EF52D8" w:rsidRPr="00FA713F" w:rsidRDefault="00EF52D8" w:rsidP="00EF52D8">
            <w:pPr>
              <w:rPr>
                <w:rFonts w:cs="Arial"/>
                <w:i/>
                <w:color w:val="000000" w:themeColor="text1"/>
              </w:rPr>
            </w:pPr>
            <w:r w:rsidRPr="00FA713F">
              <w:rPr>
                <w:rFonts w:cs="Arial"/>
                <w:i/>
                <w:color w:val="000000" w:themeColor="text1"/>
              </w:rPr>
              <w:t>Sexual orientation (Lesbian, Gay and Bisexual)</w:t>
            </w:r>
          </w:p>
        </w:tc>
        <w:tc>
          <w:tcPr>
            <w:tcW w:w="2623" w:type="dxa"/>
          </w:tcPr>
          <w:p w14:paraId="7EBD4DA7" w14:textId="77777777" w:rsidR="00EF52D8" w:rsidRPr="001C4E5E" w:rsidRDefault="00EF52D8" w:rsidP="00EF52D8">
            <w:pPr>
              <w:rPr>
                <w:rFonts w:cs="Arial"/>
                <w:color w:val="000000" w:themeColor="text1"/>
                <w:highlight w:val="yellow"/>
              </w:rPr>
            </w:pPr>
            <w:r w:rsidRPr="001C4E5E">
              <w:rPr>
                <w:rFonts w:cs="Arial"/>
                <w:color w:val="000000" w:themeColor="text1"/>
              </w:rPr>
              <w:t>No differential impact identified.</w:t>
            </w:r>
          </w:p>
        </w:tc>
        <w:tc>
          <w:tcPr>
            <w:tcW w:w="2622" w:type="dxa"/>
          </w:tcPr>
          <w:p w14:paraId="3F590903" w14:textId="77777777" w:rsidR="00EF52D8" w:rsidRPr="001C4E5E" w:rsidRDefault="00EF52D8" w:rsidP="00EF52D8">
            <w:pPr>
              <w:rPr>
                <w:rFonts w:cs="Arial"/>
                <w:color w:val="000000" w:themeColor="text1"/>
                <w:highlight w:val="yellow"/>
              </w:rPr>
            </w:pPr>
          </w:p>
        </w:tc>
        <w:tc>
          <w:tcPr>
            <w:tcW w:w="2618" w:type="dxa"/>
          </w:tcPr>
          <w:p w14:paraId="55BB8FFB" w14:textId="77777777" w:rsidR="00EF52D8" w:rsidRPr="001C4E5E" w:rsidRDefault="00EF52D8" w:rsidP="00EF52D8">
            <w:pPr>
              <w:rPr>
                <w:rFonts w:cs="Arial"/>
                <w:color w:val="000000" w:themeColor="text1"/>
                <w:highlight w:val="yellow"/>
              </w:rPr>
            </w:pPr>
          </w:p>
        </w:tc>
      </w:tr>
      <w:tr w:rsidR="00EF52D8" w:rsidRPr="001C4E5E" w14:paraId="46CCF867" w14:textId="77777777" w:rsidTr="001E537D">
        <w:trPr>
          <w:cantSplit/>
        </w:trPr>
        <w:tc>
          <w:tcPr>
            <w:tcW w:w="1777" w:type="dxa"/>
            <w:shd w:val="clear" w:color="auto" w:fill="F2F2F2" w:themeFill="background1" w:themeFillShade="F2"/>
          </w:tcPr>
          <w:p w14:paraId="74421595" w14:textId="77777777" w:rsidR="00EF52D8" w:rsidRPr="00FA713F" w:rsidRDefault="00EF52D8" w:rsidP="00EF52D8">
            <w:pPr>
              <w:rPr>
                <w:rFonts w:cs="Arial"/>
                <w:i/>
                <w:color w:val="000000" w:themeColor="text1"/>
              </w:rPr>
            </w:pPr>
            <w:r w:rsidRPr="00FA713F">
              <w:rPr>
                <w:rFonts w:cs="Arial"/>
                <w:i/>
                <w:color w:val="000000" w:themeColor="text1"/>
              </w:rPr>
              <w:t>Marriage and civil partnership</w:t>
            </w:r>
          </w:p>
        </w:tc>
        <w:tc>
          <w:tcPr>
            <w:tcW w:w="2623" w:type="dxa"/>
          </w:tcPr>
          <w:p w14:paraId="2642DFFB" w14:textId="77777777" w:rsidR="00EF52D8" w:rsidRPr="001C4E5E" w:rsidRDefault="00EF52D8" w:rsidP="00EF52D8">
            <w:pPr>
              <w:rPr>
                <w:rFonts w:cs="Arial"/>
                <w:color w:val="000000" w:themeColor="text1"/>
                <w:highlight w:val="yellow"/>
              </w:rPr>
            </w:pPr>
            <w:r w:rsidRPr="001C4E5E">
              <w:rPr>
                <w:rFonts w:cs="Arial"/>
                <w:color w:val="000000" w:themeColor="text1"/>
              </w:rPr>
              <w:t>No differential impact identified.</w:t>
            </w:r>
          </w:p>
        </w:tc>
        <w:tc>
          <w:tcPr>
            <w:tcW w:w="2622" w:type="dxa"/>
          </w:tcPr>
          <w:p w14:paraId="6E97548E" w14:textId="77777777" w:rsidR="00EF52D8" w:rsidRPr="001C4E5E" w:rsidRDefault="00EF52D8" w:rsidP="00EF52D8">
            <w:pPr>
              <w:rPr>
                <w:rFonts w:cs="Arial"/>
                <w:color w:val="000000" w:themeColor="text1"/>
                <w:highlight w:val="yellow"/>
              </w:rPr>
            </w:pPr>
          </w:p>
        </w:tc>
        <w:tc>
          <w:tcPr>
            <w:tcW w:w="2618" w:type="dxa"/>
          </w:tcPr>
          <w:p w14:paraId="3E93CA84" w14:textId="77777777" w:rsidR="00EF52D8" w:rsidRPr="001C4E5E" w:rsidRDefault="00EF52D8" w:rsidP="00EF52D8">
            <w:pPr>
              <w:rPr>
                <w:rFonts w:cs="Arial"/>
                <w:color w:val="000000" w:themeColor="text1"/>
                <w:highlight w:val="yellow"/>
              </w:rPr>
            </w:pPr>
          </w:p>
        </w:tc>
      </w:tr>
      <w:tr w:rsidR="00EF52D8" w:rsidRPr="001C4E5E" w14:paraId="51123F97" w14:textId="77777777" w:rsidTr="001E537D">
        <w:trPr>
          <w:cantSplit/>
        </w:trPr>
        <w:tc>
          <w:tcPr>
            <w:tcW w:w="1777" w:type="dxa"/>
            <w:shd w:val="clear" w:color="auto" w:fill="F2F2F2" w:themeFill="background1" w:themeFillShade="F2"/>
          </w:tcPr>
          <w:p w14:paraId="40626813" w14:textId="77777777" w:rsidR="00EF52D8" w:rsidRPr="00FA713F" w:rsidRDefault="00EF52D8" w:rsidP="00EF52D8">
            <w:pPr>
              <w:rPr>
                <w:rFonts w:cs="Arial"/>
                <w:i/>
                <w:color w:val="000000" w:themeColor="text1"/>
              </w:rPr>
            </w:pPr>
            <w:r w:rsidRPr="00FA713F">
              <w:rPr>
                <w:rFonts w:cs="Arial"/>
                <w:i/>
                <w:color w:val="000000" w:themeColor="text1"/>
              </w:rPr>
              <w:lastRenderedPageBreak/>
              <w:t>Children and young people up to the age of 18</w:t>
            </w:r>
          </w:p>
        </w:tc>
        <w:tc>
          <w:tcPr>
            <w:tcW w:w="2623" w:type="dxa"/>
          </w:tcPr>
          <w:p w14:paraId="1A3F86E2" w14:textId="77777777" w:rsidR="00EF52D8" w:rsidRPr="001C4E5E" w:rsidRDefault="00EF52D8" w:rsidP="00EF52D8">
            <w:pPr>
              <w:keepNext/>
              <w:rPr>
                <w:rFonts w:cs="Arial"/>
                <w:szCs w:val="24"/>
              </w:rPr>
            </w:pPr>
            <w:r w:rsidRPr="00FE7694">
              <w:rPr>
                <w:rFonts w:cs="Arial"/>
                <w:b/>
                <w:color w:val="000000" w:themeColor="text1"/>
              </w:rPr>
              <w:t>Positive:</w:t>
            </w:r>
            <w:r w:rsidRPr="001C4E5E">
              <w:rPr>
                <w:rFonts w:cs="Arial"/>
                <w:color w:val="000000" w:themeColor="text1"/>
              </w:rPr>
              <w:t xml:space="preserve"> Children and young people have rights to congregate, join clubs and take parts in activities under the </w:t>
            </w:r>
            <w:r w:rsidRPr="001C4E5E">
              <w:rPr>
                <w:rFonts w:cs="Arial"/>
                <w:szCs w:val="24"/>
              </w:rPr>
              <w:t xml:space="preserve">United Nations Convention on the Rights of the Child. </w:t>
            </w:r>
            <w:r w:rsidRPr="001C4E5E">
              <w:rPr>
                <w:rFonts w:cs="Arial"/>
                <w:color w:val="000000" w:themeColor="text1"/>
              </w:rPr>
              <w:t>Opening the sector would have a positive impact in supporting these rights.</w:t>
            </w:r>
          </w:p>
          <w:p w14:paraId="122647BF" w14:textId="77777777" w:rsidR="00EF52D8" w:rsidRPr="001C4E5E" w:rsidRDefault="00EF52D8" w:rsidP="00EF52D8">
            <w:pPr>
              <w:rPr>
                <w:rFonts w:cs="Arial"/>
                <w:color w:val="000000" w:themeColor="text1"/>
                <w:highlight w:val="yellow"/>
              </w:rPr>
            </w:pPr>
          </w:p>
        </w:tc>
        <w:tc>
          <w:tcPr>
            <w:tcW w:w="2622" w:type="dxa"/>
          </w:tcPr>
          <w:p w14:paraId="619B3457" w14:textId="77777777" w:rsidR="00EF52D8" w:rsidRPr="001C4E5E" w:rsidRDefault="00EF52D8" w:rsidP="00EF52D8">
            <w:pPr>
              <w:rPr>
                <w:rFonts w:cs="Arial"/>
                <w:color w:val="000000" w:themeColor="text1"/>
                <w:highlight w:val="yellow"/>
              </w:rPr>
            </w:pPr>
          </w:p>
        </w:tc>
        <w:tc>
          <w:tcPr>
            <w:tcW w:w="2618" w:type="dxa"/>
          </w:tcPr>
          <w:p w14:paraId="1A33D229" w14:textId="77777777" w:rsidR="00EF52D8" w:rsidRPr="001C4E5E" w:rsidRDefault="00EF52D8" w:rsidP="00EF52D8">
            <w:pPr>
              <w:rPr>
                <w:rFonts w:cs="Arial"/>
                <w:color w:val="000000" w:themeColor="text1"/>
                <w:highlight w:val="yellow"/>
              </w:rPr>
            </w:pPr>
            <w:r w:rsidRPr="001C4E5E">
              <w:rPr>
                <w:rFonts w:cs="Arial"/>
                <w:color w:val="000000" w:themeColor="text1"/>
              </w:rPr>
              <w:t>Consideration will be given to the impact of the relaxing of social distancing measures for under 11s on the guidance provided to the sector.</w:t>
            </w:r>
          </w:p>
        </w:tc>
      </w:tr>
      <w:tr w:rsidR="00EF52D8" w:rsidRPr="001C4E5E" w14:paraId="03BF7878" w14:textId="77777777" w:rsidTr="001E537D">
        <w:tc>
          <w:tcPr>
            <w:tcW w:w="1777" w:type="dxa"/>
            <w:shd w:val="clear" w:color="auto" w:fill="F2F2F2" w:themeFill="background1" w:themeFillShade="F2"/>
          </w:tcPr>
          <w:p w14:paraId="441E75BF" w14:textId="77777777" w:rsidR="00EF52D8" w:rsidRPr="00FA713F" w:rsidRDefault="00EF52D8" w:rsidP="00EF52D8">
            <w:pPr>
              <w:rPr>
                <w:rFonts w:cs="Arial"/>
                <w:i/>
                <w:color w:val="000000" w:themeColor="text1"/>
              </w:rPr>
            </w:pPr>
            <w:r w:rsidRPr="00FA713F">
              <w:rPr>
                <w:rFonts w:cs="Arial"/>
                <w:i/>
                <w:color w:val="000000" w:themeColor="text1"/>
              </w:rPr>
              <w:t>Low-income households</w:t>
            </w:r>
          </w:p>
        </w:tc>
        <w:tc>
          <w:tcPr>
            <w:tcW w:w="2623" w:type="dxa"/>
          </w:tcPr>
          <w:p w14:paraId="5F97FDD2" w14:textId="13065541" w:rsidR="00EF52D8" w:rsidRPr="001C4E5E" w:rsidRDefault="00EF52D8" w:rsidP="00EF52D8">
            <w:pPr>
              <w:rPr>
                <w:rFonts w:cs="Arial"/>
                <w:color w:val="000000" w:themeColor="text1"/>
                <w:highlight w:val="yellow"/>
              </w:rPr>
            </w:pPr>
            <w:r w:rsidRPr="00FE7694">
              <w:rPr>
                <w:rFonts w:cs="Arial"/>
                <w:b/>
                <w:color w:val="000000" w:themeColor="text1"/>
              </w:rPr>
              <w:t>Positive:</w:t>
            </w:r>
            <w:r w:rsidRPr="001C4E5E">
              <w:rPr>
                <w:rFonts w:cs="Arial"/>
                <w:color w:val="000000" w:themeColor="text1"/>
              </w:rPr>
              <w:t xml:space="preserve"> Sport Wales targets support across Wales</w:t>
            </w:r>
            <w:r>
              <w:rPr>
                <w:rFonts w:cs="Arial"/>
                <w:color w:val="000000" w:themeColor="text1"/>
              </w:rPr>
              <w:t xml:space="preserve"> </w:t>
            </w:r>
            <w:r w:rsidRPr="001C4E5E">
              <w:rPr>
                <w:rFonts w:cs="Arial"/>
                <w:color w:val="000000" w:themeColor="text1"/>
              </w:rPr>
              <w:t>to encourage participation in physical exercise by groups which have lower levels of participation, including low-income households. Opening up the sector will support and encourage participation by these groups.</w:t>
            </w:r>
          </w:p>
        </w:tc>
        <w:tc>
          <w:tcPr>
            <w:tcW w:w="2622" w:type="dxa"/>
          </w:tcPr>
          <w:p w14:paraId="64F14E88" w14:textId="77777777" w:rsidR="00EF52D8" w:rsidRPr="001C4E5E" w:rsidRDefault="00EF52D8" w:rsidP="00EF52D8">
            <w:pPr>
              <w:rPr>
                <w:rFonts w:cs="Arial"/>
                <w:color w:val="000000" w:themeColor="text1"/>
                <w:highlight w:val="yellow"/>
              </w:rPr>
            </w:pPr>
          </w:p>
        </w:tc>
        <w:tc>
          <w:tcPr>
            <w:tcW w:w="2618" w:type="dxa"/>
          </w:tcPr>
          <w:p w14:paraId="185EB12B" w14:textId="77777777" w:rsidR="00EF52D8" w:rsidRPr="001C4E5E" w:rsidRDefault="00EF52D8" w:rsidP="00EF52D8">
            <w:pPr>
              <w:rPr>
                <w:rFonts w:cs="Arial"/>
                <w:color w:val="000000" w:themeColor="text1"/>
                <w:highlight w:val="yellow"/>
              </w:rPr>
            </w:pPr>
          </w:p>
        </w:tc>
      </w:tr>
    </w:tbl>
    <w:p w14:paraId="0201E7C3" w14:textId="26631533" w:rsidR="00721533" w:rsidRPr="005E5B59" w:rsidRDefault="0011299B" w:rsidP="001C4E5E">
      <w:pPr>
        <w:rPr>
          <w:rFonts w:asciiTheme="minorHAnsi" w:hAnsiTheme="minorHAnsi" w:cstheme="minorHAnsi"/>
        </w:rPr>
      </w:pPr>
      <w:r w:rsidRPr="0011299B">
        <w:rPr>
          <w:rFonts w:ascii="Arial" w:eastAsiaTheme="minorHAnsi" w:hAnsi="Arial" w:cs="Arial"/>
          <w:sz w:val="24"/>
          <w:szCs w:val="24"/>
        </w:rPr>
        <w:t xml:space="preserve"> </w:t>
      </w:r>
    </w:p>
    <w:p w14:paraId="58E22659" w14:textId="04127A04" w:rsidR="00A748CD" w:rsidRDefault="00A05FE8" w:rsidP="00A748CD">
      <w:pPr>
        <w:suppressAutoHyphens w:val="0"/>
        <w:autoSpaceDN/>
        <w:spacing w:line="259" w:lineRule="auto"/>
        <w:rPr>
          <w:rFonts w:ascii="Arial" w:hAnsi="Arial" w:cs="Arial"/>
          <w:b/>
          <w:sz w:val="24"/>
          <w:szCs w:val="24"/>
        </w:rPr>
      </w:pPr>
      <w:r w:rsidRPr="00C961D4">
        <w:rPr>
          <w:rFonts w:ascii="Arial" w:hAnsi="Arial" w:cs="Arial"/>
          <w:b/>
          <w:sz w:val="24"/>
          <w:szCs w:val="24"/>
        </w:rPr>
        <w:t xml:space="preserve">Annex </w:t>
      </w:r>
      <w:r w:rsidR="003A73C3">
        <w:rPr>
          <w:rFonts w:ascii="Arial" w:hAnsi="Arial" w:cs="Arial"/>
          <w:b/>
          <w:sz w:val="24"/>
          <w:szCs w:val="24"/>
        </w:rPr>
        <w:t>B</w:t>
      </w:r>
      <w:r w:rsidRPr="00C961D4">
        <w:rPr>
          <w:rFonts w:ascii="Arial" w:hAnsi="Arial" w:cs="Arial"/>
          <w:b/>
          <w:sz w:val="24"/>
          <w:szCs w:val="24"/>
        </w:rPr>
        <w:t>: Equality Impact Assessment –</w:t>
      </w:r>
      <w:r w:rsidR="00721533" w:rsidRPr="00C961D4">
        <w:rPr>
          <w:rFonts w:ascii="Arial" w:hAnsi="Arial" w:cs="Arial"/>
          <w:b/>
          <w:sz w:val="24"/>
          <w:szCs w:val="24"/>
        </w:rPr>
        <w:t xml:space="preserve"> </w:t>
      </w:r>
      <w:r w:rsidR="00ED70B0">
        <w:rPr>
          <w:rFonts w:ascii="Arial" w:hAnsi="Arial" w:cs="Arial"/>
          <w:b/>
          <w:sz w:val="24"/>
          <w:szCs w:val="24"/>
        </w:rPr>
        <w:t>Easing of restrictions on indoor play</w:t>
      </w:r>
    </w:p>
    <w:p w14:paraId="23300CFA" w14:textId="1503882F" w:rsidR="00CC68D9" w:rsidRPr="00CA7A49" w:rsidRDefault="00CA7A49" w:rsidP="00CA7A49">
      <w:pPr>
        <w:rPr>
          <w:rFonts w:ascii="Arial" w:hAnsi="Arial" w:cs="Arial"/>
          <w:color w:val="000000" w:themeColor="text1"/>
          <w:sz w:val="24"/>
          <w:szCs w:val="24"/>
        </w:rPr>
      </w:pPr>
      <w:r w:rsidRPr="00CA7A49">
        <w:rPr>
          <w:rFonts w:ascii="Arial" w:hAnsi="Arial" w:cs="Arial"/>
          <w:color w:val="000000" w:themeColor="text1"/>
          <w:sz w:val="24"/>
          <w:szCs w:val="24"/>
        </w:rPr>
        <w:t>Ending restrictions on indoor play will provide increased opportunities for children to engage in a range of different physical and developmental activities and provide opportunities for more social interaction.</w:t>
      </w:r>
      <w:r w:rsidRPr="00CA7A49">
        <w:rPr>
          <w:rFonts w:ascii="Arial" w:hAnsi="Arial" w:cs="Arial"/>
          <w:sz w:val="24"/>
          <w:szCs w:val="24"/>
        </w:rPr>
        <w:t xml:space="preserve"> </w:t>
      </w:r>
    </w:p>
    <w:p w14:paraId="2C6B2A43" w14:textId="77777777" w:rsidR="00CA7A49" w:rsidRDefault="00CA7A49" w:rsidP="00CC68D9">
      <w:pPr>
        <w:spacing w:after="0" w:line="240" w:lineRule="auto"/>
        <w:rPr>
          <w:rFonts w:cs="Arial"/>
          <w:color w:val="000000" w:themeColor="text1"/>
        </w:rPr>
      </w:pPr>
    </w:p>
    <w:tbl>
      <w:tblPr>
        <w:tblStyle w:val="GridTabl"/>
        <w:tblW w:w="9640" w:type="dxa"/>
        <w:tblInd w:w="-34" w:type="dxa"/>
        <w:tblLook w:val="04A0" w:firstRow="1" w:lastRow="0" w:firstColumn="1" w:lastColumn="0" w:noHBand="0" w:noVBand="1"/>
      </w:tblPr>
      <w:tblGrid>
        <w:gridCol w:w="1777"/>
        <w:gridCol w:w="2414"/>
        <w:gridCol w:w="2592"/>
        <w:gridCol w:w="2857"/>
      </w:tblGrid>
      <w:tr w:rsidR="00CC68D9" w14:paraId="6F342723" w14:textId="77777777" w:rsidTr="001418DE">
        <w:trPr>
          <w:trHeight w:val="1173"/>
        </w:trPr>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E9C1B" w14:textId="77777777" w:rsidR="00CC68D9" w:rsidRDefault="00CC68D9" w:rsidP="001418DE">
            <w:pPr>
              <w:rPr>
                <w:rFonts w:cs="Arial"/>
                <w:b/>
                <w:i/>
                <w:color w:val="000000" w:themeColor="text1"/>
              </w:rPr>
            </w:pPr>
            <w:r>
              <w:rPr>
                <w:rFonts w:cs="Arial"/>
                <w:b/>
                <w:i/>
                <w:color w:val="000000" w:themeColor="text1"/>
              </w:rPr>
              <w:t>Protected characteristic or group</w:t>
            </w:r>
          </w:p>
        </w:tc>
        <w:tc>
          <w:tcPr>
            <w:tcW w:w="2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675DA5" w14:textId="77777777" w:rsidR="00CC68D9" w:rsidRPr="00EA3C7A" w:rsidRDefault="00CC68D9" w:rsidP="001418DE">
            <w:pPr>
              <w:rPr>
                <w:rFonts w:cs="Arial"/>
                <w:b/>
                <w:i/>
              </w:rPr>
            </w:pPr>
            <w:r w:rsidRPr="00EA3C7A">
              <w:rPr>
                <w:rFonts w:cs="Arial"/>
                <w:b/>
                <w:i/>
              </w:rPr>
              <w:t>What are the positive or negative impacts of the proposal?</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8078BB" w14:textId="77777777" w:rsidR="00CC68D9" w:rsidRPr="00EA3C7A" w:rsidRDefault="00CC68D9" w:rsidP="001418DE">
            <w:pPr>
              <w:rPr>
                <w:rFonts w:cs="Arial"/>
                <w:b/>
                <w:i/>
              </w:rPr>
            </w:pPr>
            <w:r w:rsidRPr="00EA3C7A">
              <w:rPr>
                <w:rFonts w:cs="Arial"/>
                <w:b/>
                <w:bCs/>
                <w:i/>
              </w:rPr>
              <w:t xml:space="preserve">Reasons for your decision (including evidence) </w:t>
            </w:r>
          </w:p>
        </w:tc>
        <w:tc>
          <w:tcPr>
            <w:tcW w:w="2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46617" w14:textId="77777777" w:rsidR="00CC68D9" w:rsidRPr="00EA3C7A" w:rsidRDefault="00CC68D9" w:rsidP="001418DE">
            <w:pPr>
              <w:rPr>
                <w:rFonts w:cs="Arial"/>
                <w:b/>
                <w:i/>
                <w:color w:val="000000" w:themeColor="text1"/>
              </w:rPr>
            </w:pPr>
            <w:r w:rsidRPr="00EA3C7A">
              <w:rPr>
                <w:rFonts w:cs="Arial"/>
                <w:b/>
                <w:i/>
                <w:color w:val="000000" w:themeColor="text1"/>
              </w:rPr>
              <w:t>How will you mitigate Impacts?</w:t>
            </w:r>
          </w:p>
          <w:p w14:paraId="1FED5720" w14:textId="77777777" w:rsidR="00CC68D9" w:rsidRDefault="00CC68D9" w:rsidP="001418DE">
            <w:pPr>
              <w:rPr>
                <w:rFonts w:cs="Arial"/>
                <w:b/>
                <w:i/>
                <w:color w:val="000000" w:themeColor="text1"/>
                <w:highlight w:val="yellow"/>
              </w:rPr>
            </w:pPr>
          </w:p>
        </w:tc>
      </w:tr>
      <w:tr w:rsidR="00CC68D9" w14:paraId="7014845C"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CE529D" w14:textId="77777777" w:rsidR="00CC68D9" w:rsidRDefault="00CC68D9" w:rsidP="001418DE">
            <w:pPr>
              <w:rPr>
                <w:rFonts w:cs="Arial"/>
                <w:i/>
                <w:color w:val="000000" w:themeColor="text1"/>
              </w:rPr>
            </w:pPr>
            <w:r>
              <w:rPr>
                <w:rFonts w:cs="Arial"/>
                <w:i/>
                <w:color w:val="000000" w:themeColor="text1"/>
              </w:rPr>
              <w:t>Age (think about different age groups)</w:t>
            </w:r>
          </w:p>
        </w:tc>
        <w:tc>
          <w:tcPr>
            <w:tcW w:w="2414" w:type="dxa"/>
            <w:tcBorders>
              <w:top w:val="single" w:sz="4" w:space="0" w:color="auto"/>
              <w:left w:val="single" w:sz="4" w:space="0" w:color="auto"/>
              <w:bottom w:val="single" w:sz="4" w:space="0" w:color="auto"/>
              <w:right w:val="single" w:sz="4" w:space="0" w:color="auto"/>
            </w:tcBorders>
          </w:tcPr>
          <w:p w14:paraId="2FE29164" w14:textId="5611D630" w:rsidR="00CC68D9" w:rsidRDefault="00CC68D9" w:rsidP="001418DE">
            <w:pPr>
              <w:rPr>
                <w:rFonts w:cs="Arial"/>
                <w:szCs w:val="24"/>
              </w:rPr>
            </w:pPr>
            <w:r>
              <w:rPr>
                <w:rFonts w:cs="Arial"/>
                <w:b/>
                <w:szCs w:val="24"/>
              </w:rPr>
              <w:t>Positive:</w:t>
            </w:r>
            <w:r>
              <w:rPr>
                <w:rFonts w:cs="Arial"/>
                <w:szCs w:val="24"/>
              </w:rPr>
              <w:t xml:space="preserve"> </w:t>
            </w:r>
            <w:r w:rsidRPr="0031206E">
              <w:rPr>
                <w:rFonts w:cs="Arial"/>
              </w:rPr>
              <w:t>Re-opening more premises providing a greater range of services and attractions will be of benefit to all age groups</w:t>
            </w:r>
            <w:r>
              <w:rPr>
                <w:rFonts w:cs="Arial"/>
              </w:rPr>
              <w:t>.</w:t>
            </w:r>
            <w:r w:rsidRPr="0031206E">
              <w:rPr>
                <w:rFonts w:cs="Arial"/>
                <w:szCs w:val="24"/>
              </w:rPr>
              <w:t xml:space="preserve"> </w:t>
            </w:r>
            <w:r>
              <w:rPr>
                <w:rFonts w:cs="Arial"/>
                <w:szCs w:val="24"/>
              </w:rPr>
              <w:t xml:space="preserve">However there are particular benefits to children from </w:t>
            </w:r>
            <w:r>
              <w:rPr>
                <w:rFonts w:cs="Arial"/>
                <w:szCs w:val="24"/>
              </w:rPr>
              <w:lastRenderedPageBreak/>
              <w:t xml:space="preserve">reopening indoor play areas.  </w:t>
            </w:r>
          </w:p>
          <w:p w14:paraId="21F07622" w14:textId="77777777" w:rsidR="00CC68D9" w:rsidRDefault="00CC68D9" w:rsidP="001418DE">
            <w:pPr>
              <w:rPr>
                <w:rFonts w:cs="Arial"/>
                <w:szCs w:val="24"/>
              </w:rPr>
            </w:pPr>
          </w:p>
        </w:tc>
        <w:tc>
          <w:tcPr>
            <w:tcW w:w="2592" w:type="dxa"/>
            <w:tcBorders>
              <w:top w:val="single" w:sz="4" w:space="0" w:color="auto"/>
              <w:left w:val="single" w:sz="4" w:space="0" w:color="auto"/>
              <w:bottom w:val="single" w:sz="4" w:space="0" w:color="auto"/>
              <w:right w:val="single" w:sz="4" w:space="0" w:color="auto"/>
            </w:tcBorders>
          </w:tcPr>
          <w:p w14:paraId="20F0B0CC" w14:textId="77777777" w:rsidR="00CC68D9" w:rsidRPr="00511315" w:rsidRDefault="00CC68D9" w:rsidP="001418DE">
            <w:r w:rsidRPr="00511315">
              <w:lastRenderedPageBreak/>
              <w:t>There is a wealth of evidence on the value of play to child development, including physical development, literacy and emotional development.</w:t>
            </w:r>
          </w:p>
          <w:p w14:paraId="4CBB4FA9" w14:textId="77777777" w:rsidR="00CC68D9" w:rsidRPr="00511315" w:rsidRDefault="00CC68D9" w:rsidP="001418DE"/>
          <w:p w14:paraId="48EBE029" w14:textId="77777777" w:rsidR="00CC68D9" w:rsidRPr="00511315" w:rsidRDefault="00CC68D9" w:rsidP="001418DE">
            <w:r w:rsidRPr="00511315">
              <w:lastRenderedPageBreak/>
              <w:t>This includes reports published by the American Academy of Paediatrics</w:t>
            </w:r>
            <w:r w:rsidRPr="00511315">
              <w:rPr>
                <w:rStyle w:val="CyfeirnodTroednodyn"/>
              </w:rPr>
              <w:footnoteReference w:id="4"/>
            </w:r>
            <w:r w:rsidRPr="00511315">
              <w:t xml:space="preserve"> and the British Medical Association</w:t>
            </w:r>
            <w:r w:rsidRPr="00511315">
              <w:rPr>
                <w:rStyle w:val="CyfeirnodTroednodyn"/>
              </w:rPr>
              <w:footnoteReference w:id="5"/>
            </w:r>
            <w:r w:rsidRPr="00511315">
              <w:t>.</w:t>
            </w:r>
          </w:p>
          <w:p w14:paraId="1C034F9A" w14:textId="77777777" w:rsidR="00CC68D9" w:rsidRDefault="00CC68D9" w:rsidP="001418DE">
            <w:pPr>
              <w:rPr>
                <w:i/>
              </w:rPr>
            </w:pPr>
          </w:p>
          <w:p w14:paraId="46117E18" w14:textId="77777777" w:rsidR="00CC68D9" w:rsidRDefault="00CC68D9" w:rsidP="001418DE">
            <w:pPr>
              <w:rPr>
                <w:i/>
              </w:rPr>
            </w:pPr>
          </w:p>
          <w:p w14:paraId="281F2C92" w14:textId="77777777" w:rsidR="00CC68D9" w:rsidRDefault="00CC68D9" w:rsidP="001418DE">
            <w:pPr>
              <w:rPr>
                <w:rFonts w:cs="Arial"/>
                <w:i/>
              </w:rPr>
            </w:pPr>
          </w:p>
        </w:tc>
        <w:tc>
          <w:tcPr>
            <w:tcW w:w="2857" w:type="dxa"/>
            <w:tcBorders>
              <w:top w:val="single" w:sz="4" w:space="0" w:color="auto"/>
              <w:left w:val="single" w:sz="4" w:space="0" w:color="auto"/>
              <w:bottom w:val="single" w:sz="4" w:space="0" w:color="auto"/>
              <w:right w:val="single" w:sz="4" w:space="0" w:color="auto"/>
            </w:tcBorders>
          </w:tcPr>
          <w:p w14:paraId="4EFDAC50" w14:textId="77777777" w:rsidR="00CC68D9" w:rsidRPr="00511315" w:rsidRDefault="00CC68D9" w:rsidP="001418DE">
            <w:pPr>
              <w:rPr>
                <w:rFonts w:cs="Arial"/>
                <w:color w:val="000000" w:themeColor="text1"/>
              </w:rPr>
            </w:pPr>
            <w:r w:rsidRPr="00511315">
              <w:rPr>
                <w:rFonts w:cs="Arial"/>
                <w:color w:val="000000" w:themeColor="text1"/>
              </w:rPr>
              <w:lastRenderedPageBreak/>
              <w:t xml:space="preserve">Welsh Government has adopted a collaborative approach to developing guidance on re-opening sectors/services/facilities with stakeholders and industry.  Therefore, comprehensive guidance to support safe implementation </w:t>
            </w:r>
            <w:r w:rsidRPr="00511315">
              <w:rPr>
                <w:rFonts w:cs="Arial"/>
                <w:color w:val="000000" w:themeColor="text1"/>
              </w:rPr>
              <w:lastRenderedPageBreak/>
              <w:t>of measures is available for those areas where restrictions have been eased and will be prepared as appropriate for other premises as preparations are made for them to re-open.</w:t>
            </w:r>
          </w:p>
          <w:p w14:paraId="74C859A4" w14:textId="77777777" w:rsidR="00CC68D9" w:rsidRPr="00511315" w:rsidRDefault="00CC68D9" w:rsidP="001418DE">
            <w:pPr>
              <w:rPr>
                <w:rFonts w:cs="Arial"/>
                <w:color w:val="000000" w:themeColor="text1"/>
              </w:rPr>
            </w:pPr>
          </w:p>
          <w:p w14:paraId="4523EDF3" w14:textId="77777777" w:rsidR="00CC68D9" w:rsidRPr="00511315" w:rsidRDefault="00CC68D9" w:rsidP="001418DE">
            <w:pPr>
              <w:rPr>
                <w:rFonts w:cs="Arial"/>
              </w:rPr>
            </w:pPr>
            <w:r w:rsidRPr="00511315">
              <w:rPr>
                <w:rFonts w:cs="Arial"/>
                <w:color w:val="1F1F1F"/>
                <w:szCs w:val="24"/>
              </w:rPr>
              <w:t xml:space="preserve">Guidance in relation to indoor play areas is under development and will </w:t>
            </w:r>
            <w:r w:rsidRPr="00511315">
              <w:rPr>
                <w:rFonts w:cs="Arial"/>
              </w:rPr>
              <w:t xml:space="preserve">underline </w:t>
            </w:r>
            <w:r w:rsidRPr="00511315">
              <w:rPr>
                <w:rFonts w:cs="Arial"/>
                <w:color w:val="1F1F1F"/>
                <w:szCs w:val="24"/>
              </w:rPr>
              <w:t xml:space="preserve">that it illegal to discriminate, directly or indirectly, against anyone because of a protected characteristic. </w:t>
            </w:r>
          </w:p>
          <w:p w14:paraId="0E6C6968" w14:textId="77777777" w:rsidR="00CC68D9" w:rsidRPr="00511315" w:rsidRDefault="00CC68D9" w:rsidP="001418DE">
            <w:pPr>
              <w:rPr>
                <w:rFonts w:cs="Arial"/>
                <w:color w:val="000000" w:themeColor="text1"/>
                <w:highlight w:val="yellow"/>
              </w:rPr>
            </w:pPr>
          </w:p>
        </w:tc>
      </w:tr>
      <w:tr w:rsidR="00CC68D9" w:rsidRPr="00EA78E8" w14:paraId="3340CCB7"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26A57F" w14:textId="77777777" w:rsidR="00CC68D9" w:rsidRDefault="00CC68D9" w:rsidP="001418DE">
            <w:pPr>
              <w:rPr>
                <w:rFonts w:cs="Arial"/>
                <w:i/>
                <w:color w:val="000000" w:themeColor="text1"/>
              </w:rPr>
            </w:pPr>
            <w:r>
              <w:rPr>
                <w:rFonts w:cs="Arial"/>
                <w:i/>
                <w:color w:val="000000" w:themeColor="text1"/>
              </w:rPr>
              <w:lastRenderedPageBreak/>
              <w:t>Disability (think about different types of disability)</w:t>
            </w:r>
          </w:p>
        </w:tc>
        <w:tc>
          <w:tcPr>
            <w:tcW w:w="2414" w:type="dxa"/>
            <w:tcBorders>
              <w:top w:val="single" w:sz="4" w:space="0" w:color="auto"/>
              <w:left w:val="single" w:sz="4" w:space="0" w:color="auto"/>
              <w:bottom w:val="single" w:sz="4" w:space="0" w:color="auto"/>
              <w:right w:val="single" w:sz="4" w:space="0" w:color="auto"/>
            </w:tcBorders>
          </w:tcPr>
          <w:p w14:paraId="0BA7DE85" w14:textId="77777777" w:rsidR="00CC68D9" w:rsidRDefault="00CC68D9" w:rsidP="001418DE">
            <w:pPr>
              <w:rPr>
                <w:rFonts w:cs="Arial"/>
                <w:color w:val="000000" w:themeColor="text1"/>
              </w:rPr>
            </w:pPr>
            <w:r>
              <w:rPr>
                <w:rFonts w:cs="Arial"/>
                <w:b/>
                <w:szCs w:val="24"/>
              </w:rPr>
              <w:t xml:space="preserve">Positive: </w:t>
            </w:r>
            <w:r w:rsidRPr="0086186C">
              <w:rPr>
                <w:rFonts w:cs="Arial"/>
                <w:color w:val="000000" w:themeColor="text1"/>
              </w:rPr>
              <w:t>As more premises re-open, disabled people should benefit from being able to access a greater range of services and other opportunities.  This will help to reduce loneliness and isolation; provide more access to support; and generally promote wellbeing.</w:t>
            </w:r>
          </w:p>
          <w:p w14:paraId="42103E93" w14:textId="77777777" w:rsidR="00CC68D9" w:rsidRDefault="00CC68D9" w:rsidP="001418DE">
            <w:pPr>
              <w:rPr>
                <w:rFonts w:cs="Arial"/>
                <w:color w:val="000000" w:themeColor="text1"/>
              </w:rPr>
            </w:pPr>
          </w:p>
          <w:p w14:paraId="043D7854" w14:textId="77777777" w:rsidR="00CC68D9" w:rsidRPr="00B9456D" w:rsidRDefault="00CC68D9" w:rsidP="001418DE">
            <w:pPr>
              <w:rPr>
                <w:rFonts w:cs="Arial"/>
                <w:szCs w:val="24"/>
                <w:u w:val="single"/>
              </w:rPr>
            </w:pPr>
            <w:r>
              <w:rPr>
                <w:rFonts w:cs="Arial"/>
                <w:color w:val="000000" w:themeColor="text1"/>
              </w:rPr>
              <w:t>Indoor play centres are required to comply with the Disability Discrimination Act 1995, ensuring people with disabilities can access their premises.  Specific indoor play equipment for use by children with disabilities is available in some settings across Wales.</w:t>
            </w:r>
          </w:p>
          <w:p w14:paraId="453DE9B6" w14:textId="77777777" w:rsidR="00CC68D9" w:rsidRDefault="00CC68D9" w:rsidP="001418DE">
            <w:pPr>
              <w:rPr>
                <w:rFonts w:cs="Arial"/>
                <w:color w:val="000000" w:themeColor="text1"/>
              </w:rPr>
            </w:pPr>
          </w:p>
          <w:p w14:paraId="733BB19F" w14:textId="77777777" w:rsidR="00CC68D9" w:rsidRDefault="00CC68D9" w:rsidP="001418DE">
            <w:pPr>
              <w:rPr>
                <w:rFonts w:cs="Arial"/>
                <w:i/>
                <w:color w:val="000000" w:themeColor="text1"/>
              </w:rPr>
            </w:pPr>
          </w:p>
        </w:tc>
        <w:tc>
          <w:tcPr>
            <w:tcW w:w="2592" w:type="dxa"/>
            <w:tcBorders>
              <w:top w:val="single" w:sz="4" w:space="0" w:color="auto"/>
              <w:left w:val="single" w:sz="4" w:space="0" w:color="auto"/>
              <w:bottom w:val="single" w:sz="4" w:space="0" w:color="auto"/>
              <w:right w:val="single" w:sz="4" w:space="0" w:color="auto"/>
            </w:tcBorders>
            <w:hideMark/>
          </w:tcPr>
          <w:p w14:paraId="541A1E0A" w14:textId="77777777" w:rsidR="00CC68D9" w:rsidRDefault="00CC68D9" w:rsidP="001418DE">
            <w:pPr>
              <w:rPr>
                <w:rFonts w:cs="Arial"/>
                <w:szCs w:val="24"/>
              </w:rPr>
            </w:pPr>
            <w:r w:rsidRPr="00511315">
              <w:rPr>
                <w:rFonts w:cs="Arial"/>
                <w:szCs w:val="24"/>
              </w:rPr>
              <w:t xml:space="preserve">There are no figures available on the number of employees with disabilities within the indoor play sector.  Nor is there any information on the number of visits to them undertaken by children or adults with disabilities. Consequently it is difficult to quantify specific impacts. </w:t>
            </w:r>
          </w:p>
          <w:p w14:paraId="08FF5A73" w14:textId="77777777" w:rsidR="00CC68D9" w:rsidRDefault="00CC68D9" w:rsidP="001418DE">
            <w:pPr>
              <w:rPr>
                <w:rFonts w:cs="Arial"/>
                <w:szCs w:val="24"/>
              </w:rPr>
            </w:pPr>
          </w:p>
          <w:p w14:paraId="473DA812" w14:textId="77777777" w:rsidR="00CC68D9" w:rsidRPr="00511315" w:rsidRDefault="00CC68D9" w:rsidP="001418DE">
            <w:pPr>
              <w:rPr>
                <w:rFonts w:cs="Arial"/>
                <w:szCs w:val="24"/>
              </w:rPr>
            </w:pPr>
            <w:r>
              <w:rPr>
                <w:rFonts w:cs="Arial"/>
                <w:szCs w:val="24"/>
              </w:rPr>
              <w:t xml:space="preserve">Local authorities are under a statutory duty to ensure there are sufficient play opportunities in their area for children with disabilities.  </w:t>
            </w:r>
          </w:p>
          <w:p w14:paraId="2365A085" w14:textId="77777777" w:rsidR="00CC68D9" w:rsidRPr="0086186C" w:rsidRDefault="00CC68D9" w:rsidP="001418DE">
            <w:pPr>
              <w:rPr>
                <w:rFonts w:cs="Arial"/>
              </w:rPr>
            </w:pPr>
          </w:p>
        </w:tc>
        <w:tc>
          <w:tcPr>
            <w:tcW w:w="2857" w:type="dxa"/>
            <w:tcBorders>
              <w:top w:val="single" w:sz="4" w:space="0" w:color="auto"/>
              <w:left w:val="single" w:sz="4" w:space="0" w:color="auto"/>
              <w:bottom w:val="single" w:sz="4" w:space="0" w:color="auto"/>
              <w:right w:val="single" w:sz="4" w:space="0" w:color="auto"/>
            </w:tcBorders>
          </w:tcPr>
          <w:p w14:paraId="0CCBC9F6" w14:textId="77777777" w:rsidR="00CC68D9" w:rsidRDefault="00CC68D9" w:rsidP="001418DE">
            <w:pPr>
              <w:rPr>
                <w:rFonts w:cs="Arial"/>
                <w:color w:val="1F1F1F"/>
                <w:szCs w:val="24"/>
              </w:rPr>
            </w:pPr>
            <w:r>
              <w:rPr>
                <w:rFonts w:cs="Arial"/>
                <w:color w:val="1F1F1F"/>
                <w:szCs w:val="24"/>
              </w:rPr>
              <w:t xml:space="preserve">Guidance for the indoor play sector will require </w:t>
            </w:r>
            <w:r w:rsidRPr="00D55792">
              <w:rPr>
                <w:rFonts w:cs="Arial"/>
                <w:color w:val="1F1F1F"/>
                <w:szCs w:val="24"/>
              </w:rPr>
              <w:t>organisations</w:t>
            </w:r>
            <w:r>
              <w:rPr>
                <w:rFonts w:cs="Arial"/>
                <w:color w:val="1F1F1F"/>
                <w:szCs w:val="24"/>
              </w:rPr>
              <w:t xml:space="preserve"> to consider the </w:t>
            </w:r>
            <w:r w:rsidRPr="00D55792">
              <w:rPr>
                <w:rFonts w:cs="Arial"/>
                <w:color w:val="1F1F1F"/>
                <w:szCs w:val="24"/>
              </w:rPr>
              <w:t xml:space="preserve">rights of those with protected characteristics </w:t>
            </w:r>
            <w:r>
              <w:rPr>
                <w:rFonts w:cs="Arial"/>
                <w:color w:val="1F1F1F"/>
                <w:szCs w:val="24"/>
              </w:rPr>
              <w:t xml:space="preserve">in terms of accessing venues or services. </w:t>
            </w:r>
          </w:p>
          <w:p w14:paraId="010FAC53" w14:textId="77777777" w:rsidR="00CC68D9" w:rsidRDefault="00CC68D9" w:rsidP="001418DE">
            <w:pPr>
              <w:rPr>
                <w:rFonts w:cs="Arial"/>
                <w:color w:val="1F1F1F"/>
                <w:szCs w:val="24"/>
              </w:rPr>
            </w:pPr>
          </w:p>
          <w:p w14:paraId="5152AA58" w14:textId="77777777" w:rsidR="00CC68D9" w:rsidRDefault="00CC68D9" w:rsidP="001418DE">
            <w:pPr>
              <w:rPr>
                <w:rFonts w:cs="Arial"/>
                <w:color w:val="1F1F1F"/>
                <w:szCs w:val="24"/>
              </w:rPr>
            </w:pPr>
            <w:r>
              <w:rPr>
                <w:rFonts w:cs="Arial"/>
                <w:color w:val="1F1F1F"/>
                <w:szCs w:val="24"/>
              </w:rPr>
              <w:t>Examples could include:</w:t>
            </w:r>
          </w:p>
          <w:p w14:paraId="6B5DC2AA" w14:textId="77777777" w:rsidR="00CC68D9" w:rsidRPr="00511315" w:rsidRDefault="00CC68D9" w:rsidP="00CC68D9">
            <w:pPr>
              <w:pStyle w:val="ParagraffRhestr"/>
              <w:numPr>
                <w:ilvl w:val="0"/>
                <w:numId w:val="37"/>
              </w:numPr>
            </w:pPr>
            <w:r>
              <w:rPr>
                <w:color w:val="1F1F1F"/>
              </w:rPr>
              <w:t>Informing people</w:t>
            </w:r>
            <w:r w:rsidRPr="00511315">
              <w:rPr>
                <w:color w:val="1F1F1F"/>
              </w:rPr>
              <w:t xml:space="preserve"> of any changes to booking procedures or how the destination will assist people with disabilities so that they can continue to access the venue in a safe way.   </w:t>
            </w:r>
            <w:r>
              <w:rPr>
                <w:color w:val="1F1F1F"/>
              </w:rPr>
              <w:br/>
            </w:r>
          </w:p>
          <w:p w14:paraId="0701F11E" w14:textId="77777777" w:rsidR="00CC68D9" w:rsidRPr="00511315" w:rsidRDefault="00CC68D9" w:rsidP="00CC68D9">
            <w:pPr>
              <w:pStyle w:val="ParagraffRhestr"/>
              <w:numPr>
                <w:ilvl w:val="0"/>
                <w:numId w:val="37"/>
              </w:numPr>
            </w:pPr>
            <w:r w:rsidRPr="00511315">
              <w:rPr>
                <w:color w:val="1F1F1F"/>
              </w:rPr>
              <w:t xml:space="preserve">providing additional information to visually impaired visitors in advance of visits regarding changed access to buildings or sites and new and more </w:t>
            </w:r>
            <w:r w:rsidRPr="00511315">
              <w:rPr>
                <w:color w:val="1F1F1F"/>
              </w:rPr>
              <w:lastRenderedPageBreak/>
              <w:t xml:space="preserve">complex visitor routes and generally by making all visitor information accessible </w:t>
            </w:r>
          </w:p>
          <w:p w14:paraId="708BBB07" w14:textId="77777777" w:rsidR="00CC68D9" w:rsidRDefault="00CC68D9" w:rsidP="001418DE">
            <w:pPr>
              <w:rPr>
                <w:rFonts w:cs="Arial"/>
                <w:color w:val="1F1F1F"/>
                <w:szCs w:val="24"/>
              </w:rPr>
            </w:pPr>
          </w:p>
          <w:p w14:paraId="3B92DF0C" w14:textId="77777777" w:rsidR="00CC68D9" w:rsidRDefault="00CC68D9" w:rsidP="001418DE">
            <w:pPr>
              <w:rPr>
                <w:rFonts w:cs="Arial"/>
                <w:color w:val="1F1F1F"/>
                <w:szCs w:val="24"/>
              </w:rPr>
            </w:pPr>
            <w:r>
              <w:rPr>
                <w:rFonts w:cs="Arial"/>
                <w:color w:val="1F1F1F"/>
                <w:szCs w:val="24"/>
              </w:rPr>
              <w:t xml:space="preserve">The guidance also states that employers have statutory obligations towards disabled workers and must make reasonable adjustments to ensure that they are not put at a disadvantage. </w:t>
            </w:r>
          </w:p>
          <w:p w14:paraId="0C83B198" w14:textId="77777777" w:rsidR="00CC68D9" w:rsidRPr="00EA78E8" w:rsidRDefault="00CC68D9" w:rsidP="001418DE">
            <w:pPr>
              <w:rPr>
                <w:rFonts w:cs="Arial"/>
                <w:color w:val="1F1F1F"/>
                <w:szCs w:val="24"/>
              </w:rPr>
            </w:pPr>
          </w:p>
        </w:tc>
      </w:tr>
      <w:tr w:rsidR="00CC68D9" w14:paraId="33CB824C"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FA60AC" w14:textId="77777777" w:rsidR="00CC68D9" w:rsidRDefault="00CC68D9" w:rsidP="001418DE">
            <w:pPr>
              <w:rPr>
                <w:rFonts w:cs="Arial"/>
                <w:i/>
                <w:color w:val="000000" w:themeColor="text1"/>
              </w:rPr>
            </w:pPr>
            <w:r>
              <w:rPr>
                <w:rFonts w:cs="Arial"/>
                <w:i/>
                <w:color w:val="000000" w:themeColor="text1"/>
              </w:rPr>
              <w:lastRenderedPageBreak/>
              <w:t>Gender Reassignment (the act of transitioning and Transgender people)</w:t>
            </w:r>
          </w:p>
        </w:tc>
        <w:tc>
          <w:tcPr>
            <w:tcW w:w="2414" w:type="dxa"/>
            <w:tcBorders>
              <w:top w:val="single" w:sz="4" w:space="0" w:color="auto"/>
              <w:left w:val="single" w:sz="4" w:space="0" w:color="auto"/>
              <w:bottom w:val="single" w:sz="4" w:space="0" w:color="auto"/>
              <w:right w:val="single" w:sz="4" w:space="0" w:color="auto"/>
            </w:tcBorders>
            <w:hideMark/>
          </w:tcPr>
          <w:p w14:paraId="3B5B784F" w14:textId="77777777" w:rsidR="00CC68D9" w:rsidRDefault="00CC68D9" w:rsidP="001418DE">
            <w:pPr>
              <w:rPr>
                <w:rFonts w:cs="Arial"/>
                <w:color w:val="000000" w:themeColor="text1"/>
                <w:szCs w:val="24"/>
              </w:rPr>
            </w:pPr>
            <w:r>
              <w:rPr>
                <w:rFonts w:cs="Arial"/>
                <w:color w:val="000000" w:themeColor="text1"/>
                <w:szCs w:val="24"/>
              </w:rPr>
              <w:t>Unlikely to have an impact.</w:t>
            </w:r>
          </w:p>
          <w:p w14:paraId="3F232FAA" w14:textId="77777777" w:rsidR="00CC68D9" w:rsidRDefault="00CC68D9" w:rsidP="001418DE">
            <w:pPr>
              <w:rPr>
                <w:rFonts w:cs="Arial"/>
                <w:szCs w:val="24"/>
              </w:rPr>
            </w:pPr>
          </w:p>
          <w:p w14:paraId="43E852BE" w14:textId="77777777" w:rsidR="00CC68D9" w:rsidRDefault="00CC68D9" w:rsidP="001418DE">
            <w:pPr>
              <w:rPr>
                <w:rFonts w:cs="Arial"/>
                <w:i/>
                <w:color w:val="000000" w:themeColor="text1"/>
              </w:rPr>
            </w:pPr>
          </w:p>
        </w:tc>
        <w:tc>
          <w:tcPr>
            <w:tcW w:w="2592" w:type="dxa"/>
            <w:tcBorders>
              <w:top w:val="single" w:sz="4" w:space="0" w:color="auto"/>
              <w:left w:val="single" w:sz="4" w:space="0" w:color="auto"/>
              <w:bottom w:val="single" w:sz="4" w:space="0" w:color="auto"/>
              <w:right w:val="single" w:sz="4" w:space="0" w:color="auto"/>
            </w:tcBorders>
          </w:tcPr>
          <w:p w14:paraId="42BB0F86" w14:textId="77777777" w:rsidR="00CC68D9" w:rsidRPr="00140A58" w:rsidRDefault="00CC68D9" w:rsidP="001418DE">
            <w:pPr>
              <w:rPr>
                <w:rFonts w:cs="Arial"/>
                <w:color w:val="000000" w:themeColor="text1"/>
                <w:szCs w:val="24"/>
              </w:rPr>
            </w:pPr>
            <w:r w:rsidRPr="00140A58">
              <w:rPr>
                <w:rFonts w:cs="Arial"/>
                <w:color w:val="000000" w:themeColor="text1"/>
                <w:szCs w:val="24"/>
              </w:rPr>
              <w:t xml:space="preserve">Insufficient data available to form a proper assessment  </w:t>
            </w:r>
          </w:p>
          <w:p w14:paraId="1D4F72FB" w14:textId="77777777" w:rsidR="00CC68D9" w:rsidRPr="00140A58" w:rsidRDefault="00CC68D9" w:rsidP="001418DE">
            <w:pPr>
              <w:rPr>
                <w:rFonts w:cs="Arial"/>
                <w:color w:val="000000" w:themeColor="text1"/>
                <w:szCs w:val="24"/>
              </w:rPr>
            </w:pPr>
          </w:p>
          <w:p w14:paraId="0BFABEDC" w14:textId="77777777" w:rsidR="00CC68D9" w:rsidRDefault="00CC68D9" w:rsidP="001418DE">
            <w:pPr>
              <w:rPr>
                <w:rFonts w:cs="Arial"/>
                <w:color w:val="000000" w:themeColor="text1"/>
                <w:szCs w:val="24"/>
              </w:rPr>
            </w:pPr>
            <w:r w:rsidRPr="00140A58">
              <w:rPr>
                <w:rFonts w:cs="Arial"/>
                <w:color w:val="000000" w:themeColor="text1"/>
                <w:szCs w:val="24"/>
              </w:rPr>
              <w:t xml:space="preserve">As more premises open, people should generally benefit from more opportunities for safe social interaction and opportunities to access services, which will help to reduce loneliness and isolation; provide more access to support; and generally promote wellbeing.  </w:t>
            </w:r>
          </w:p>
          <w:p w14:paraId="2D78AFD3" w14:textId="77777777" w:rsidR="00CC68D9" w:rsidRPr="00140A58" w:rsidRDefault="00CC68D9" w:rsidP="001418DE">
            <w:pPr>
              <w:rPr>
                <w:rFonts w:cs="Arial"/>
                <w:szCs w:val="24"/>
              </w:rPr>
            </w:pPr>
          </w:p>
        </w:tc>
        <w:tc>
          <w:tcPr>
            <w:tcW w:w="2857" w:type="dxa"/>
            <w:tcBorders>
              <w:top w:val="single" w:sz="4" w:space="0" w:color="auto"/>
              <w:left w:val="single" w:sz="4" w:space="0" w:color="auto"/>
              <w:bottom w:val="single" w:sz="4" w:space="0" w:color="auto"/>
              <w:right w:val="single" w:sz="4" w:space="0" w:color="auto"/>
            </w:tcBorders>
          </w:tcPr>
          <w:p w14:paraId="09FE0A72" w14:textId="77777777" w:rsidR="00CC68D9" w:rsidRPr="00D55792" w:rsidRDefault="00CC68D9" w:rsidP="001418DE">
            <w:pPr>
              <w:rPr>
                <w:szCs w:val="24"/>
              </w:rPr>
            </w:pPr>
            <w:r>
              <w:rPr>
                <w:rFonts w:cs="Arial"/>
                <w:color w:val="1F1F1F"/>
                <w:szCs w:val="24"/>
              </w:rPr>
              <w:t xml:space="preserve">Guidance for the indoor play sector will </w:t>
            </w:r>
            <w:r w:rsidRPr="00D55792">
              <w:rPr>
                <w:rFonts w:cs="Arial"/>
                <w:color w:val="1F1F1F"/>
                <w:szCs w:val="24"/>
              </w:rPr>
              <w:t xml:space="preserve">advise that organisations consider the rights of those with protected characteristics and how they will be able to continue to access </w:t>
            </w:r>
            <w:r>
              <w:rPr>
                <w:rFonts w:cs="Arial"/>
                <w:color w:val="1F1F1F"/>
                <w:szCs w:val="24"/>
              </w:rPr>
              <w:t>the</w:t>
            </w:r>
            <w:r w:rsidRPr="00D55792">
              <w:rPr>
                <w:rFonts w:cs="Arial"/>
                <w:color w:val="1F1F1F"/>
                <w:szCs w:val="24"/>
              </w:rPr>
              <w:t xml:space="preserve"> venue / services safely. </w:t>
            </w:r>
          </w:p>
          <w:p w14:paraId="71E37441" w14:textId="77777777" w:rsidR="00CC68D9" w:rsidRPr="00371DB0" w:rsidRDefault="00CC68D9" w:rsidP="001418DE">
            <w:pPr>
              <w:rPr>
                <w:rFonts w:cs="Arial"/>
                <w:i/>
                <w:color w:val="000000" w:themeColor="text1"/>
              </w:rPr>
            </w:pPr>
          </w:p>
          <w:p w14:paraId="3DEFCE56" w14:textId="77777777" w:rsidR="00CC68D9" w:rsidRDefault="00CC68D9" w:rsidP="001418DE">
            <w:pPr>
              <w:rPr>
                <w:rFonts w:cs="Arial"/>
                <w:i/>
                <w:color w:val="000000" w:themeColor="text1"/>
                <w:highlight w:val="yellow"/>
              </w:rPr>
            </w:pPr>
          </w:p>
        </w:tc>
      </w:tr>
      <w:tr w:rsidR="00CC68D9" w14:paraId="212FE9EB"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527B46" w14:textId="77777777" w:rsidR="00CC68D9" w:rsidRDefault="00CC68D9" w:rsidP="001418DE">
            <w:pPr>
              <w:rPr>
                <w:rFonts w:cs="Arial"/>
                <w:i/>
                <w:color w:val="000000" w:themeColor="text1"/>
              </w:rPr>
            </w:pPr>
            <w:r>
              <w:rPr>
                <w:rFonts w:cs="Arial"/>
                <w:i/>
                <w:color w:val="000000" w:themeColor="text1"/>
              </w:rPr>
              <w:t>Pregnancy and maternity</w:t>
            </w:r>
          </w:p>
        </w:tc>
        <w:tc>
          <w:tcPr>
            <w:tcW w:w="2414" w:type="dxa"/>
            <w:tcBorders>
              <w:top w:val="single" w:sz="4" w:space="0" w:color="auto"/>
              <w:left w:val="single" w:sz="4" w:space="0" w:color="auto"/>
              <w:bottom w:val="single" w:sz="4" w:space="0" w:color="auto"/>
              <w:right w:val="single" w:sz="4" w:space="0" w:color="auto"/>
            </w:tcBorders>
            <w:hideMark/>
          </w:tcPr>
          <w:p w14:paraId="744FE1DA" w14:textId="77777777" w:rsidR="00CC68D9" w:rsidRPr="00A11165" w:rsidRDefault="00CC68D9" w:rsidP="001418DE">
            <w:pPr>
              <w:rPr>
                <w:rFonts w:cs="Arial"/>
                <w:color w:val="000000" w:themeColor="text1"/>
                <w:szCs w:val="24"/>
              </w:rPr>
            </w:pPr>
            <w:r w:rsidRPr="00CA7A49">
              <w:rPr>
                <w:rFonts w:cs="Arial"/>
                <w:b/>
                <w:color w:val="000000" w:themeColor="text1"/>
              </w:rPr>
              <w:t>Positive:</w:t>
            </w:r>
            <w:r w:rsidRPr="00A11165">
              <w:rPr>
                <w:rFonts w:cs="Arial"/>
                <w:color w:val="000000" w:themeColor="text1"/>
              </w:rPr>
              <w:t xml:space="preserve"> Re-opening more businesses such as indoor </w:t>
            </w:r>
            <w:r>
              <w:rPr>
                <w:rFonts w:cs="Arial"/>
                <w:color w:val="000000" w:themeColor="text1"/>
              </w:rPr>
              <w:t>play centres</w:t>
            </w:r>
            <w:r w:rsidRPr="00A11165">
              <w:rPr>
                <w:rFonts w:cs="Arial"/>
                <w:color w:val="000000" w:themeColor="text1"/>
              </w:rPr>
              <w:t xml:space="preserve"> will also provide a greater range of activities which mothers/carers may be able to take young children to enjoy</w:t>
            </w:r>
          </w:p>
        </w:tc>
        <w:tc>
          <w:tcPr>
            <w:tcW w:w="2592" w:type="dxa"/>
            <w:tcBorders>
              <w:top w:val="single" w:sz="4" w:space="0" w:color="auto"/>
              <w:left w:val="single" w:sz="4" w:space="0" w:color="auto"/>
              <w:bottom w:val="single" w:sz="4" w:space="0" w:color="auto"/>
              <w:right w:val="single" w:sz="4" w:space="0" w:color="auto"/>
            </w:tcBorders>
          </w:tcPr>
          <w:p w14:paraId="37985597" w14:textId="77777777" w:rsidR="00CC68D9" w:rsidRDefault="00CC68D9" w:rsidP="001418DE">
            <w:pPr>
              <w:rPr>
                <w:rFonts w:cs="Arial"/>
                <w:color w:val="000000" w:themeColor="text1"/>
              </w:rPr>
            </w:pPr>
            <w:r w:rsidRPr="00A11165">
              <w:rPr>
                <w:rFonts w:cs="Arial"/>
                <w:color w:val="000000" w:themeColor="text1"/>
              </w:rPr>
              <w:t>As more premises open, they will generally benefit from more opportunities for safe social interaction and opportunities to access services, which will help to reduce loneliness and isolation; provide more access to support; and generally promote wellbeing.</w:t>
            </w:r>
          </w:p>
          <w:p w14:paraId="6A18632F" w14:textId="77777777" w:rsidR="00CC68D9" w:rsidRPr="00140A58" w:rsidRDefault="00CC68D9" w:rsidP="001418DE">
            <w:pPr>
              <w:rPr>
                <w:rFonts w:cs="Arial"/>
              </w:rPr>
            </w:pPr>
          </w:p>
        </w:tc>
        <w:tc>
          <w:tcPr>
            <w:tcW w:w="2857" w:type="dxa"/>
            <w:tcBorders>
              <w:top w:val="single" w:sz="4" w:space="0" w:color="auto"/>
              <w:left w:val="single" w:sz="4" w:space="0" w:color="auto"/>
              <w:bottom w:val="single" w:sz="4" w:space="0" w:color="auto"/>
              <w:right w:val="single" w:sz="4" w:space="0" w:color="auto"/>
            </w:tcBorders>
          </w:tcPr>
          <w:p w14:paraId="44A20067" w14:textId="77777777" w:rsidR="00CC68D9" w:rsidRPr="00D55792" w:rsidRDefault="00CC68D9" w:rsidP="001418DE">
            <w:pPr>
              <w:rPr>
                <w:szCs w:val="24"/>
              </w:rPr>
            </w:pPr>
            <w:r>
              <w:rPr>
                <w:rFonts w:cs="Arial"/>
                <w:color w:val="1F1F1F"/>
                <w:szCs w:val="24"/>
              </w:rPr>
              <w:t xml:space="preserve">Guidance for the indoor play sector will </w:t>
            </w:r>
            <w:r w:rsidRPr="00D55792">
              <w:rPr>
                <w:rFonts w:cs="Arial"/>
                <w:color w:val="1F1F1F"/>
                <w:szCs w:val="24"/>
              </w:rPr>
              <w:t xml:space="preserve">advise that organisations consider the rights of those with protected characteristics and how they will be able to continue to access </w:t>
            </w:r>
            <w:r>
              <w:rPr>
                <w:rFonts w:cs="Arial"/>
                <w:color w:val="1F1F1F"/>
                <w:szCs w:val="24"/>
              </w:rPr>
              <w:t>the</w:t>
            </w:r>
            <w:r w:rsidRPr="00D55792">
              <w:rPr>
                <w:rFonts w:cs="Arial"/>
                <w:color w:val="1F1F1F"/>
                <w:szCs w:val="24"/>
              </w:rPr>
              <w:t xml:space="preserve"> venue / services safely. </w:t>
            </w:r>
          </w:p>
          <w:p w14:paraId="15F652B3" w14:textId="77777777" w:rsidR="00CC68D9" w:rsidRDefault="00CC68D9" w:rsidP="001418DE">
            <w:pPr>
              <w:rPr>
                <w:rFonts w:cs="Arial"/>
                <w:color w:val="1F1F1F"/>
                <w:szCs w:val="24"/>
              </w:rPr>
            </w:pPr>
            <w:r w:rsidRPr="00D55792">
              <w:rPr>
                <w:rFonts w:cs="Arial"/>
                <w:color w:val="1F1F1F"/>
                <w:szCs w:val="24"/>
              </w:rPr>
              <w:t xml:space="preserve"> </w:t>
            </w:r>
            <w:r>
              <w:rPr>
                <w:rFonts w:cs="Arial"/>
                <w:color w:val="1F1F1F"/>
                <w:szCs w:val="24"/>
              </w:rPr>
              <w:t xml:space="preserve"> </w:t>
            </w:r>
          </w:p>
          <w:p w14:paraId="25CF6A5B" w14:textId="77777777" w:rsidR="00CC68D9" w:rsidRDefault="00CC68D9" w:rsidP="001418DE">
            <w:pPr>
              <w:rPr>
                <w:rFonts w:cs="Arial"/>
                <w:i/>
                <w:color w:val="FF0000"/>
                <w:highlight w:val="yellow"/>
              </w:rPr>
            </w:pPr>
          </w:p>
        </w:tc>
      </w:tr>
      <w:tr w:rsidR="00CC68D9" w14:paraId="590992D4"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2DB370" w14:textId="77777777" w:rsidR="00CC68D9" w:rsidRDefault="00CC68D9" w:rsidP="001418DE">
            <w:pPr>
              <w:rPr>
                <w:rFonts w:cs="Arial"/>
                <w:i/>
                <w:color w:val="000000" w:themeColor="text1"/>
              </w:rPr>
            </w:pPr>
            <w:r>
              <w:rPr>
                <w:rFonts w:cs="Arial"/>
                <w:i/>
                <w:color w:val="000000" w:themeColor="text1"/>
              </w:rPr>
              <w:t xml:space="preserve">Race (include different ethnic minorities, Gypsies and Travellers and Migrants, </w:t>
            </w:r>
            <w:r>
              <w:rPr>
                <w:rFonts w:cs="Arial"/>
                <w:i/>
                <w:color w:val="000000" w:themeColor="text1"/>
              </w:rPr>
              <w:lastRenderedPageBreak/>
              <w:t>Asylum seekers and Refugees)</w:t>
            </w:r>
          </w:p>
        </w:tc>
        <w:tc>
          <w:tcPr>
            <w:tcW w:w="2414" w:type="dxa"/>
            <w:tcBorders>
              <w:top w:val="single" w:sz="4" w:space="0" w:color="auto"/>
              <w:left w:val="single" w:sz="4" w:space="0" w:color="auto"/>
              <w:bottom w:val="single" w:sz="4" w:space="0" w:color="auto"/>
              <w:right w:val="single" w:sz="4" w:space="0" w:color="auto"/>
            </w:tcBorders>
            <w:hideMark/>
          </w:tcPr>
          <w:p w14:paraId="6249AC13" w14:textId="77777777" w:rsidR="00CC68D9" w:rsidRPr="00CA7A49" w:rsidRDefault="00CC68D9" w:rsidP="001418DE">
            <w:pPr>
              <w:rPr>
                <w:rFonts w:cs="Arial"/>
                <w:b/>
                <w:szCs w:val="24"/>
              </w:rPr>
            </w:pPr>
            <w:r w:rsidRPr="00CA7A49">
              <w:rPr>
                <w:rFonts w:cs="Arial"/>
                <w:b/>
                <w:szCs w:val="24"/>
              </w:rPr>
              <w:lastRenderedPageBreak/>
              <w:t xml:space="preserve">Neutral as visitors. </w:t>
            </w:r>
          </w:p>
          <w:p w14:paraId="27E66327" w14:textId="77777777" w:rsidR="00CC68D9" w:rsidRDefault="00CC68D9" w:rsidP="001418DE">
            <w:pPr>
              <w:rPr>
                <w:rFonts w:cs="Arial"/>
                <w:color w:val="000000" w:themeColor="text1"/>
              </w:rPr>
            </w:pPr>
            <w:r>
              <w:rPr>
                <w:rFonts w:cs="Arial"/>
                <w:color w:val="000000" w:themeColor="text1"/>
              </w:rPr>
              <w:t xml:space="preserve">Unclear in terms of </w:t>
            </w:r>
            <w:r w:rsidRPr="00C73BD6">
              <w:rPr>
                <w:rFonts w:cs="Arial"/>
              </w:rPr>
              <w:t>employees</w:t>
            </w:r>
            <w:r>
              <w:rPr>
                <w:rFonts w:cs="Arial"/>
              </w:rPr>
              <w:t xml:space="preserve"> as there is no detail available on the workforce.  However,</w:t>
            </w:r>
            <w:r w:rsidRPr="00C73BD6">
              <w:rPr>
                <w:rFonts w:cs="Arial"/>
              </w:rPr>
              <w:t xml:space="preserve"> as more </w:t>
            </w:r>
            <w:r w:rsidRPr="00C73BD6">
              <w:rPr>
                <w:rFonts w:cs="Arial"/>
              </w:rPr>
              <w:lastRenderedPageBreak/>
              <w:t xml:space="preserve">businesses are allowed to re-open </w:t>
            </w:r>
            <w:r w:rsidRPr="00C73BD6">
              <w:rPr>
                <w:rFonts w:cs="Arial"/>
                <w:color w:val="000000" w:themeColor="text1"/>
              </w:rPr>
              <w:t>they should help the preservation of jobs and increase household incomes for those who work in the sector (i.e. by receiving their full salary as they are transferred off furlough).</w:t>
            </w:r>
          </w:p>
          <w:p w14:paraId="4C76AA21" w14:textId="77777777" w:rsidR="00CC68D9" w:rsidRDefault="00CC68D9" w:rsidP="001418DE">
            <w:pPr>
              <w:rPr>
                <w:rFonts w:cs="Arial"/>
                <w:color w:val="000000" w:themeColor="text1"/>
              </w:rPr>
            </w:pPr>
          </w:p>
          <w:p w14:paraId="7F69A174" w14:textId="77777777" w:rsidR="00CC68D9" w:rsidRPr="00C73BD6" w:rsidRDefault="00CC68D9" w:rsidP="001418DE">
            <w:pPr>
              <w:rPr>
                <w:rFonts w:cs="Arial"/>
                <w:color w:val="000000" w:themeColor="text1"/>
                <w:szCs w:val="24"/>
              </w:rPr>
            </w:pPr>
            <w:r w:rsidRPr="00CA7A49">
              <w:rPr>
                <w:rFonts w:cs="Arial"/>
                <w:b/>
                <w:color w:val="000000" w:themeColor="text1"/>
              </w:rPr>
              <w:t>Negative:</w:t>
            </w:r>
            <w:r w:rsidRPr="00C73BD6">
              <w:rPr>
                <w:rFonts w:cs="Arial"/>
                <w:color w:val="000000" w:themeColor="text1"/>
              </w:rPr>
              <w:t xml:space="preserve"> BAME groups are disproportionately at risk of negative health outcomes should they contract Covid-19</w:t>
            </w:r>
          </w:p>
        </w:tc>
        <w:tc>
          <w:tcPr>
            <w:tcW w:w="2592" w:type="dxa"/>
            <w:tcBorders>
              <w:top w:val="single" w:sz="4" w:space="0" w:color="auto"/>
              <w:left w:val="single" w:sz="4" w:space="0" w:color="auto"/>
              <w:bottom w:val="single" w:sz="4" w:space="0" w:color="auto"/>
              <w:right w:val="single" w:sz="4" w:space="0" w:color="auto"/>
            </w:tcBorders>
            <w:hideMark/>
          </w:tcPr>
          <w:p w14:paraId="1263EDCF" w14:textId="77777777" w:rsidR="00CC68D9" w:rsidRPr="00140A58" w:rsidRDefault="00CC68D9" w:rsidP="001418DE">
            <w:pPr>
              <w:rPr>
                <w:rFonts w:cs="Arial"/>
                <w:color w:val="000000" w:themeColor="text1"/>
                <w:szCs w:val="24"/>
              </w:rPr>
            </w:pPr>
            <w:r w:rsidRPr="00140A58">
              <w:rPr>
                <w:rFonts w:cs="Arial"/>
                <w:color w:val="000000" w:themeColor="text1"/>
                <w:szCs w:val="24"/>
              </w:rPr>
              <w:lastRenderedPageBreak/>
              <w:t xml:space="preserve">Insufficient data available to form a proper assessment  </w:t>
            </w:r>
          </w:p>
          <w:p w14:paraId="1EA6CBAF" w14:textId="77777777" w:rsidR="00CC68D9" w:rsidRPr="00140A58" w:rsidRDefault="00CC68D9" w:rsidP="001418DE">
            <w:pPr>
              <w:rPr>
                <w:rFonts w:cs="Arial"/>
                <w:color w:val="000000" w:themeColor="text1"/>
                <w:szCs w:val="24"/>
              </w:rPr>
            </w:pPr>
          </w:p>
          <w:p w14:paraId="7FE0B5DD" w14:textId="77777777" w:rsidR="00CC68D9" w:rsidRDefault="00CC68D9" w:rsidP="001418DE">
            <w:pPr>
              <w:rPr>
                <w:rFonts w:cs="Arial"/>
                <w:color w:val="000000" w:themeColor="text1"/>
                <w:szCs w:val="24"/>
              </w:rPr>
            </w:pPr>
            <w:r w:rsidRPr="00140A58">
              <w:rPr>
                <w:rFonts w:cs="Arial"/>
                <w:color w:val="000000" w:themeColor="text1"/>
                <w:szCs w:val="24"/>
              </w:rPr>
              <w:t xml:space="preserve">As more premises open, people should generally </w:t>
            </w:r>
            <w:r w:rsidRPr="00140A58">
              <w:rPr>
                <w:rFonts w:cs="Arial"/>
                <w:color w:val="000000" w:themeColor="text1"/>
                <w:szCs w:val="24"/>
              </w:rPr>
              <w:lastRenderedPageBreak/>
              <w:t xml:space="preserve">benefit from more opportunities for safe social interaction and opportunities to access services, which will help to reduce loneliness and isolation; provide more access to support; and generally promote wellbeing.  </w:t>
            </w:r>
          </w:p>
          <w:p w14:paraId="6AADCF73" w14:textId="77777777" w:rsidR="00CC68D9" w:rsidRDefault="00CC68D9" w:rsidP="001418DE">
            <w:pPr>
              <w:rPr>
                <w:rFonts w:cs="Arial"/>
                <w:i/>
              </w:rPr>
            </w:pPr>
          </w:p>
        </w:tc>
        <w:tc>
          <w:tcPr>
            <w:tcW w:w="2857" w:type="dxa"/>
            <w:tcBorders>
              <w:top w:val="single" w:sz="4" w:space="0" w:color="auto"/>
              <w:left w:val="single" w:sz="4" w:space="0" w:color="auto"/>
              <w:bottom w:val="single" w:sz="4" w:space="0" w:color="auto"/>
              <w:right w:val="single" w:sz="4" w:space="0" w:color="auto"/>
            </w:tcBorders>
          </w:tcPr>
          <w:p w14:paraId="28FC6BD6" w14:textId="04B11B4B" w:rsidR="00CC68D9" w:rsidRPr="00980029" w:rsidRDefault="00CA7A49" w:rsidP="001418DE">
            <w:pPr>
              <w:rPr>
                <w:rFonts w:cs="Arial"/>
                <w:color w:val="000000" w:themeColor="text1"/>
                <w:szCs w:val="24"/>
              </w:rPr>
            </w:pPr>
            <w:r w:rsidRPr="00CA7A49">
              <w:rPr>
                <w:rFonts w:cs="Arial"/>
                <w:b/>
                <w:color w:val="000000" w:themeColor="text1"/>
                <w:szCs w:val="24"/>
              </w:rPr>
              <w:lastRenderedPageBreak/>
              <w:t>Mitigation:</w:t>
            </w:r>
            <w:r>
              <w:rPr>
                <w:rFonts w:cs="Arial"/>
                <w:color w:val="000000" w:themeColor="text1"/>
                <w:szCs w:val="24"/>
              </w:rPr>
              <w:t xml:space="preserve"> </w:t>
            </w:r>
            <w:r w:rsidR="00CC68D9" w:rsidRPr="00980029">
              <w:rPr>
                <w:rFonts w:cs="Arial"/>
                <w:color w:val="000000" w:themeColor="text1"/>
                <w:szCs w:val="24"/>
              </w:rPr>
              <w:t>Consistent and clear messaging needs to be maintained reminding BAME people of the risks that COVID-19 poses.</w:t>
            </w:r>
          </w:p>
          <w:p w14:paraId="76C1AA49" w14:textId="77777777" w:rsidR="00CC68D9" w:rsidRDefault="00CC68D9" w:rsidP="001418DE">
            <w:pPr>
              <w:rPr>
                <w:rFonts w:cs="Arial"/>
                <w:color w:val="1F1F1F"/>
                <w:szCs w:val="24"/>
              </w:rPr>
            </w:pPr>
          </w:p>
          <w:p w14:paraId="7EAE9F89" w14:textId="77777777" w:rsidR="00CC68D9" w:rsidRPr="00D55792" w:rsidRDefault="00CC68D9" w:rsidP="001418DE">
            <w:pPr>
              <w:rPr>
                <w:szCs w:val="24"/>
              </w:rPr>
            </w:pPr>
            <w:r>
              <w:rPr>
                <w:rFonts w:cs="Arial"/>
                <w:color w:val="1F1F1F"/>
                <w:szCs w:val="24"/>
              </w:rPr>
              <w:lastRenderedPageBreak/>
              <w:t xml:space="preserve">Guidance for the indoor play sector will </w:t>
            </w:r>
            <w:r w:rsidRPr="00D55792">
              <w:rPr>
                <w:rFonts w:cs="Arial"/>
                <w:color w:val="1F1F1F"/>
                <w:szCs w:val="24"/>
              </w:rPr>
              <w:t xml:space="preserve">advise that organisations consider the rights of those with protected characteristics and how they will be able to continue to access </w:t>
            </w:r>
            <w:r>
              <w:rPr>
                <w:rFonts w:cs="Arial"/>
                <w:color w:val="1F1F1F"/>
                <w:szCs w:val="24"/>
              </w:rPr>
              <w:t>the</w:t>
            </w:r>
            <w:r w:rsidRPr="00D55792">
              <w:rPr>
                <w:rFonts w:cs="Arial"/>
                <w:color w:val="1F1F1F"/>
                <w:szCs w:val="24"/>
              </w:rPr>
              <w:t xml:space="preserve"> venue / services safely. </w:t>
            </w:r>
          </w:p>
          <w:p w14:paraId="0C2B5611" w14:textId="77777777" w:rsidR="00CC68D9" w:rsidRDefault="00CC68D9" w:rsidP="001418DE">
            <w:pPr>
              <w:rPr>
                <w:rFonts w:cs="Arial"/>
                <w:color w:val="1F1F1F"/>
                <w:szCs w:val="24"/>
              </w:rPr>
            </w:pPr>
          </w:p>
          <w:p w14:paraId="75917110" w14:textId="77777777" w:rsidR="00CC68D9" w:rsidRPr="00370DA8" w:rsidRDefault="00CC68D9" w:rsidP="001418DE">
            <w:pPr>
              <w:rPr>
                <w:rFonts w:cs="Arial"/>
                <w:color w:val="1F1F1F"/>
                <w:szCs w:val="24"/>
              </w:rPr>
            </w:pPr>
            <w:r w:rsidRPr="00370DA8">
              <w:rPr>
                <w:rFonts w:cs="Arial"/>
                <w:color w:val="1F1F1F"/>
                <w:szCs w:val="24"/>
              </w:rPr>
              <w:t xml:space="preserve">The guidance also advises the use of simple, clear and accessible messaging to explain guidelines, with consideration of groups whose first language may not be Welsh or English. </w:t>
            </w:r>
          </w:p>
          <w:p w14:paraId="67AB5711" w14:textId="77777777" w:rsidR="00CC68D9" w:rsidRPr="00E87D02" w:rsidRDefault="00CC68D9" w:rsidP="001418DE">
            <w:pPr>
              <w:rPr>
                <w:i/>
                <w:color w:val="FF0000"/>
                <w:szCs w:val="24"/>
                <w:highlight w:val="yellow"/>
              </w:rPr>
            </w:pPr>
          </w:p>
          <w:p w14:paraId="33380284" w14:textId="77777777" w:rsidR="00CC68D9" w:rsidRPr="00E87D02" w:rsidRDefault="00CC68D9" w:rsidP="001418DE">
            <w:pPr>
              <w:rPr>
                <w:i/>
                <w:color w:val="FF0000"/>
                <w:szCs w:val="24"/>
                <w:highlight w:val="yellow"/>
              </w:rPr>
            </w:pPr>
            <w:r>
              <w:rPr>
                <w:rFonts w:cs="Arial"/>
                <w:color w:val="1F1F1F"/>
                <w:szCs w:val="24"/>
              </w:rPr>
              <w:t xml:space="preserve">It also </w:t>
            </w:r>
            <w:r w:rsidRPr="00E87D02">
              <w:rPr>
                <w:rFonts w:cs="Arial"/>
                <w:color w:val="1F1F1F"/>
                <w:szCs w:val="24"/>
              </w:rPr>
              <w:t>requires that the risk assessment pays particular regard to whether the people doing the work are especially vulnerable to COVI</w:t>
            </w:r>
            <w:r>
              <w:rPr>
                <w:rFonts w:cs="Arial"/>
                <w:color w:val="1F1F1F"/>
                <w:szCs w:val="24"/>
              </w:rPr>
              <w:t xml:space="preserve">D19 and to put in place steps to protect them. </w:t>
            </w:r>
          </w:p>
          <w:p w14:paraId="06C5458B" w14:textId="77777777" w:rsidR="00CC68D9" w:rsidRDefault="00CC68D9" w:rsidP="001418DE">
            <w:pPr>
              <w:rPr>
                <w:rFonts w:cs="Arial"/>
                <w:i/>
                <w:color w:val="FF0000"/>
                <w:highlight w:val="yellow"/>
              </w:rPr>
            </w:pPr>
          </w:p>
        </w:tc>
      </w:tr>
      <w:tr w:rsidR="00CC68D9" w:rsidRPr="0029441E" w14:paraId="431C302E"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52A4BB" w14:textId="77777777" w:rsidR="00CC68D9" w:rsidRDefault="00CC68D9" w:rsidP="001418DE">
            <w:pPr>
              <w:rPr>
                <w:rFonts w:cs="Arial"/>
                <w:i/>
                <w:color w:val="000000" w:themeColor="text1"/>
              </w:rPr>
            </w:pPr>
            <w:r>
              <w:rPr>
                <w:rFonts w:cs="Arial"/>
                <w:i/>
                <w:color w:val="000000" w:themeColor="text1"/>
              </w:rPr>
              <w:lastRenderedPageBreak/>
              <w:t>Religion, belief and non-belief</w:t>
            </w:r>
          </w:p>
        </w:tc>
        <w:tc>
          <w:tcPr>
            <w:tcW w:w="2414" w:type="dxa"/>
            <w:tcBorders>
              <w:top w:val="single" w:sz="4" w:space="0" w:color="auto"/>
              <w:left w:val="single" w:sz="4" w:space="0" w:color="auto"/>
              <w:bottom w:val="single" w:sz="4" w:space="0" w:color="auto"/>
              <w:right w:val="single" w:sz="4" w:space="0" w:color="auto"/>
            </w:tcBorders>
            <w:hideMark/>
          </w:tcPr>
          <w:p w14:paraId="00869259" w14:textId="77777777" w:rsidR="00CC68D9" w:rsidRPr="0029441E" w:rsidRDefault="00CC68D9" w:rsidP="001418DE">
            <w:pPr>
              <w:rPr>
                <w:rFonts w:cs="Arial"/>
                <w:i/>
                <w:color w:val="000000" w:themeColor="text1"/>
              </w:rPr>
            </w:pPr>
            <w:r>
              <w:rPr>
                <w:rFonts w:cs="Arial"/>
                <w:i/>
                <w:color w:val="000000" w:themeColor="text1"/>
              </w:rPr>
              <w:t xml:space="preserve">Unlikely to have an impact </w:t>
            </w:r>
          </w:p>
          <w:p w14:paraId="45A90FD6" w14:textId="77777777" w:rsidR="00CC68D9" w:rsidRPr="0029441E" w:rsidRDefault="00CC68D9" w:rsidP="001418DE">
            <w:pPr>
              <w:rPr>
                <w:rFonts w:cs="Arial"/>
                <w:szCs w:val="24"/>
              </w:rPr>
            </w:pPr>
          </w:p>
          <w:p w14:paraId="01D164BB" w14:textId="77777777" w:rsidR="00CC68D9" w:rsidRPr="0029441E" w:rsidRDefault="00CC68D9" w:rsidP="001418DE">
            <w:pPr>
              <w:rPr>
                <w:rFonts w:cs="Arial"/>
                <w:color w:val="000000"/>
                <w:szCs w:val="24"/>
              </w:rPr>
            </w:pPr>
          </w:p>
          <w:p w14:paraId="59120CA9" w14:textId="77777777" w:rsidR="00CC68D9" w:rsidRPr="0029441E" w:rsidRDefault="00CC68D9" w:rsidP="001418DE">
            <w:pPr>
              <w:rPr>
                <w:rFonts w:cs="Arial"/>
                <w:i/>
                <w:color w:val="000000" w:themeColor="text1"/>
                <w:szCs w:val="24"/>
              </w:rPr>
            </w:pPr>
            <w:r w:rsidRPr="0029441E">
              <w:rPr>
                <w:rFonts w:cs="Arial"/>
                <w:color w:val="000000"/>
                <w:szCs w:val="24"/>
              </w:rPr>
              <w:t> </w:t>
            </w:r>
          </w:p>
        </w:tc>
        <w:tc>
          <w:tcPr>
            <w:tcW w:w="2592" w:type="dxa"/>
            <w:tcBorders>
              <w:top w:val="single" w:sz="4" w:space="0" w:color="auto"/>
              <w:left w:val="single" w:sz="4" w:space="0" w:color="auto"/>
              <w:bottom w:val="single" w:sz="4" w:space="0" w:color="auto"/>
              <w:right w:val="single" w:sz="4" w:space="0" w:color="auto"/>
            </w:tcBorders>
          </w:tcPr>
          <w:p w14:paraId="247C881D" w14:textId="77777777" w:rsidR="00CC68D9" w:rsidRPr="00140A58" w:rsidRDefault="00CC68D9" w:rsidP="001418DE">
            <w:pPr>
              <w:rPr>
                <w:rFonts w:cs="Arial"/>
                <w:color w:val="000000" w:themeColor="text1"/>
                <w:szCs w:val="24"/>
              </w:rPr>
            </w:pPr>
            <w:r w:rsidRPr="00140A58">
              <w:rPr>
                <w:rFonts w:cs="Arial"/>
                <w:color w:val="000000" w:themeColor="text1"/>
                <w:szCs w:val="24"/>
              </w:rPr>
              <w:t xml:space="preserve">Insufficient data available to form a proper assessment  </w:t>
            </w:r>
          </w:p>
          <w:p w14:paraId="587E8D69" w14:textId="77777777" w:rsidR="00CC68D9" w:rsidRPr="00140A58" w:rsidRDefault="00CC68D9" w:rsidP="001418DE">
            <w:pPr>
              <w:rPr>
                <w:rFonts w:cs="Arial"/>
                <w:color w:val="000000" w:themeColor="text1"/>
                <w:szCs w:val="24"/>
              </w:rPr>
            </w:pPr>
          </w:p>
          <w:p w14:paraId="0A03DCED" w14:textId="77777777" w:rsidR="00CC68D9" w:rsidRDefault="00CC68D9" w:rsidP="001418DE">
            <w:pPr>
              <w:rPr>
                <w:rFonts w:cs="Arial"/>
                <w:color w:val="000000" w:themeColor="text1"/>
                <w:szCs w:val="24"/>
              </w:rPr>
            </w:pPr>
            <w:r w:rsidRPr="00140A58">
              <w:rPr>
                <w:rFonts w:cs="Arial"/>
                <w:color w:val="000000" w:themeColor="text1"/>
                <w:szCs w:val="24"/>
              </w:rPr>
              <w:t xml:space="preserve">As more premises open, people should generally benefit from more opportunities for safe social interaction and opportunities to access services, which will help to reduce loneliness and isolation; provide more access to support; and generally promote wellbeing.  </w:t>
            </w:r>
          </w:p>
          <w:p w14:paraId="513F132A" w14:textId="77777777" w:rsidR="00CC68D9" w:rsidRPr="0000587F" w:rsidRDefault="00CC68D9" w:rsidP="001418DE">
            <w:pPr>
              <w:rPr>
                <w:rFonts w:cs="Arial"/>
                <w:color w:val="000000" w:themeColor="text1"/>
              </w:rPr>
            </w:pPr>
            <w:r w:rsidRPr="0029441E">
              <w:rPr>
                <w:rFonts w:cs="Arial"/>
                <w:color w:val="000000" w:themeColor="text1"/>
              </w:rPr>
              <w:t xml:space="preserve"> </w:t>
            </w:r>
          </w:p>
        </w:tc>
        <w:tc>
          <w:tcPr>
            <w:tcW w:w="2857" w:type="dxa"/>
            <w:tcBorders>
              <w:top w:val="single" w:sz="4" w:space="0" w:color="auto"/>
              <w:left w:val="single" w:sz="4" w:space="0" w:color="auto"/>
              <w:bottom w:val="single" w:sz="4" w:space="0" w:color="auto"/>
              <w:right w:val="single" w:sz="4" w:space="0" w:color="auto"/>
            </w:tcBorders>
          </w:tcPr>
          <w:p w14:paraId="7BCF0C65" w14:textId="77777777" w:rsidR="00CC68D9" w:rsidRPr="00D55792" w:rsidRDefault="00CC68D9" w:rsidP="001418DE">
            <w:pPr>
              <w:rPr>
                <w:szCs w:val="24"/>
              </w:rPr>
            </w:pPr>
            <w:r>
              <w:rPr>
                <w:rFonts w:cs="Arial"/>
                <w:color w:val="1F1F1F"/>
                <w:szCs w:val="24"/>
              </w:rPr>
              <w:t xml:space="preserve">Guidance for the indoor play sector will </w:t>
            </w:r>
            <w:r w:rsidRPr="00D55792">
              <w:rPr>
                <w:rFonts w:cs="Arial"/>
                <w:color w:val="1F1F1F"/>
                <w:szCs w:val="24"/>
              </w:rPr>
              <w:t xml:space="preserve">advise that organisations consider the rights of those with protected characteristics and how they will be able to continue to access </w:t>
            </w:r>
            <w:r>
              <w:rPr>
                <w:rFonts w:cs="Arial"/>
                <w:color w:val="1F1F1F"/>
                <w:szCs w:val="24"/>
              </w:rPr>
              <w:t>the</w:t>
            </w:r>
            <w:r w:rsidRPr="00D55792">
              <w:rPr>
                <w:rFonts w:cs="Arial"/>
                <w:color w:val="1F1F1F"/>
                <w:szCs w:val="24"/>
              </w:rPr>
              <w:t xml:space="preserve"> venue / services safely. </w:t>
            </w:r>
          </w:p>
          <w:p w14:paraId="511B6C3C" w14:textId="77777777" w:rsidR="00CC68D9" w:rsidRPr="0029441E" w:rsidRDefault="00CC68D9" w:rsidP="001418DE">
            <w:pPr>
              <w:rPr>
                <w:rFonts w:cs="Arial"/>
                <w:color w:val="000000" w:themeColor="text1"/>
              </w:rPr>
            </w:pPr>
          </w:p>
          <w:p w14:paraId="24142938" w14:textId="77777777" w:rsidR="00CC68D9" w:rsidRPr="0029441E" w:rsidRDefault="00CC68D9" w:rsidP="001418DE">
            <w:pPr>
              <w:rPr>
                <w:rFonts w:cs="Arial"/>
                <w:i/>
                <w:color w:val="000000" w:themeColor="text1"/>
              </w:rPr>
            </w:pPr>
          </w:p>
          <w:p w14:paraId="347E00A4" w14:textId="77777777" w:rsidR="00CC68D9" w:rsidRPr="0029441E" w:rsidRDefault="00CC68D9" w:rsidP="001418DE">
            <w:pPr>
              <w:rPr>
                <w:rFonts w:cs="Arial"/>
                <w:i/>
                <w:color w:val="000000" w:themeColor="text1"/>
              </w:rPr>
            </w:pPr>
          </w:p>
          <w:p w14:paraId="60EB6F5D" w14:textId="77777777" w:rsidR="00CC68D9" w:rsidRPr="0029441E" w:rsidRDefault="00CC68D9" w:rsidP="001418DE">
            <w:pPr>
              <w:rPr>
                <w:rFonts w:cs="Arial"/>
                <w:i/>
                <w:color w:val="000000" w:themeColor="text1"/>
                <w:szCs w:val="24"/>
              </w:rPr>
            </w:pPr>
          </w:p>
        </w:tc>
      </w:tr>
      <w:tr w:rsidR="00CC68D9" w14:paraId="01B5C9BE" w14:textId="77777777" w:rsidTr="001418DE">
        <w:trPr>
          <w:trHeight w:val="935"/>
        </w:trPr>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360B" w14:textId="77777777" w:rsidR="00CC68D9" w:rsidRDefault="00CC68D9" w:rsidP="001418DE">
            <w:pPr>
              <w:rPr>
                <w:rFonts w:cs="Arial"/>
                <w:i/>
                <w:color w:val="000000" w:themeColor="text1"/>
              </w:rPr>
            </w:pPr>
            <w:r>
              <w:rPr>
                <w:rFonts w:cs="Arial"/>
                <w:i/>
                <w:color w:val="000000" w:themeColor="text1"/>
              </w:rPr>
              <w:t>Sex / Gender</w:t>
            </w:r>
          </w:p>
        </w:tc>
        <w:tc>
          <w:tcPr>
            <w:tcW w:w="2414" w:type="dxa"/>
            <w:tcBorders>
              <w:top w:val="single" w:sz="4" w:space="0" w:color="auto"/>
              <w:left w:val="single" w:sz="4" w:space="0" w:color="auto"/>
              <w:bottom w:val="single" w:sz="4" w:space="0" w:color="auto"/>
              <w:right w:val="single" w:sz="4" w:space="0" w:color="auto"/>
            </w:tcBorders>
          </w:tcPr>
          <w:p w14:paraId="31331BF7" w14:textId="77777777" w:rsidR="00CC68D9" w:rsidRDefault="00CC68D9" w:rsidP="001418DE">
            <w:pPr>
              <w:rPr>
                <w:rFonts w:cs="Arial"/>
                <w:color w:val="000000" w:themeColor="text1"/>
              </w:rPr>
            </w:pPr>
            <w:r w:rsidRPr="004A02E8">
              <w:rPr>
                <w:rFonts w:cs="Arial"/>
                <w:color w:val="000000" w:themeColor="text1"/>
              </w:rPr>
              <w:t xml:space="preserve">Neutral: Women tend to be primary care-givers, including for children during the school holidays. Access to more and in particular, </w:t>
            </w:r>
            <w:r w:rsidRPr="004A02E8">
              <w:rPr>
                <w:rFonts w:cs="Arial"/>
                <w:color w:val="000000" w:themeColor="text1"/>
              </w:rPr>
              <w:lastRenderedPageBreak/>
              <w:t xml:space="preserve">community provided services such as </w:t>
            </w:r>
            <w:r>
              <w:rPr>
                <w:rFonts w:cs="Arial"/>
                <w:color w:val="000000" w:themeColor="text1"/>
              </w:rPr>
              <w:t xml:space="preserve">indoor play areas </w:t>
            </w:r>
            <w:r w:rsidRPr="004A02E8">
              <w:rPr>
                <w:rFonts w:cs="Arial"/>
                <w:color w:val="000000" w:themeColor="text1"/>
              </w:rPr>
              <w:t>will be of benefit</w:t>
            </w:r>
          </w:p>
        </w:tc>
        <w:tc>
          <w:tcPr>
            <w:tcW w:w="2592" w:type="dxa"/>
            <w:tcBorders>
              <w:top w:val="single" w:sz="4" w:space="0" w:color="auto"/>
              <w:left w:val="single" w:sz="4" w:space="0" w:color="auto"/>
              <w:bottom w:val="single" w:sz="4" w:space="0" w:color="auto"/>
              <w:right w:val="single" w:sz="4" w:space="0" w:color="auto"/>
            </w:tcBorders>
            <w:hideMark/>
          </w:tcPr>
          <w:p w14:paraId="10C48FA6" w14:textId="77777777" w:rsidR="00CC68D9" w:rsidRPr="00140A58" w:rsidRDefault="00CC68D9" w:rsidP="001418DE">
            <w:pPr>
              <w:rPr>
                <w:rFonts w:cs="Arial"/>
                <w:color w:val="000000" w:themeColor="text1"/>
                <w:szCs w:val="24"/>
              </w:rPr>
            </w:pPr>
            <w:r w:rsidRPr="00140A58">
              <w:rPr>
                <w:rFonts w:cs="Arial"/>
                <w:color w:val="000000" w:themeColor="text1"/>
                <w:szCs w:val="24"/>
              </w:rPr>
              <w:lastRenderedPageBreak/>
              <w:t xml:space="preserve">Insufficient data available to form a proper assessment  </w:t>
            </w:r>
          </w:p>
          <w:p w14:paraId="5FC7A0A1" w14:textId="77777777" w:rsidR="00CC68D9" w:rsidRPr="00140A58" w:rsidRDefault="00CC68D9" w:rsidP="001418DE">
            <w:pPr>
              <w:rPr>
                <w:rFonts w:cs="Arial"/>
                <w:color w:val="000000" w:themeColor="text1"/>
                <w:szCs w:val="24"/>
              </w:rPr>
            </w:pPr>
          </w:p>
          <w:p w14:paraId="086A2BB7" w14:textId="77777777" w:rsidR="00CC68D9" w:rsidRDefault="00CC68D9" w:rsidP="001418DE">
            <w:pPr>
              <w:rPr>
                <w:rFonts w:cs="Arial"/>
                <w:color w:val="000000" w:themeColor="text1"/>
                <w:szCs w:val="24"/>
              </w:rPr>
            </w:pPr>
            <w:r w:rsidRPr="00140A58">
              <w:rPr>
                <w:rFonts w:cs="Arial"/>
                <w:color w:val="000000" w:themeColor="text1"/>
                <w:szCs w:val="24"/>
              </w:rPr>
              <w:t xml:space="preserve">As more premises open, people should generally </w:t>
            </w:r>
            <w:r w:rsidRPr="00140A58">
              <w:rPr>
                <w:rFonts w:cs="Arial"/>
                <w:color w:val="000000" w:themeColor="text1"/>
                <w:szCs w:val="24"/>
              </w:rPr>
              <w:lastRenderedPageBreak/>
              <w:t xml:space="preserve">benefit from more opportunities for safe social interaction and opportunities to access services, which will help to reduce loneliness and isolation; provide more access to support; and generally promote wellbeing.  </w:t>
            </w:r>
          </w:p>
          <w:p w14:paraId="6C1BBC2E" w14:textId="77777777" w:rsidR="00CC68D9" w:rsidRDefault="00CC68D9" w:rsidP="001418DE">
            <w:pPr>
              <w:rPr>
                <w:rFonts w:cs="Arial"/>
                <w:color w:val="000000" w:themeColor="text1"/>
              </w:rPr>
            </w:pPr>
          </w:p>
          <w:p w14:paraId="7F0F3375" w14:textId="77777777" w:rsidR="00CC68D9" w:rsidRPr="004A02E8" w:rsidRDefault="00CC68D9" w:rsidP="001418DE">
            <w:pPr>
              <w:rPr>
                <w:rFonts w:cs="Arial"/>
                <w:color w:val="000000" w:themeColor="text1"/>
              </w:rPr>
            </w:pPr>
            <w:r w:rsidRPr="004A02E8">
              <w:rPr>
                <w:rFonts w:cs="Arial"/>
                <w:color w:val="000000" w:themeColor="text1"/>
              </w:rPr>
              <w:t>Opportunities to return to employment will help reduce anxieties associated with lockdown including financial worries.</w:t>
            </w:r>
          </w:p>
          <w:p w14:paraId="05360E5D" w14:textId="77777777" w:rsidR="00CC68D9" w:rsidRDefault="00CC68D9" w:rsidP="001418DE">
            <w:pPr>
              <w:rPr>
                <w:rFonts w:cs="Arial"/>
                <w:i/>
              </w:rPr>
            </w:pPr>
          </w:p>
        </w:tc>
        <w:tc>
          <w:tcPr>
            <w:tcW w:w="2857" w:type="dxa"/>
            <w:tcBorders>
              <w:top w:val="single" w:sz="4" w:space="0" w:color="auto"/>
              <w:left w:val="single" w:sz="4" w:space="0" w:color="auto"/>
              <w:bottom w:val="single" w:sz="4" w:space="0" w:color="auto"/>
              <w:right w:val="single" w:sz="4" w:space="0" w:color="auto"/>
            </w:tcBorders>
          </w:tcPr>
          <w:p w14:paraId="05D1A6D5" w14:textId="77777777" w:rsidR="00CC68D9" w:rsidRPr="00950D79" w:rsidRDefault="00CC68D9" w:rsidP="001418DE">
            <w:pPr>
              <w:rPr>
                <w:rFonts w:cs="Arial"/>
                <w:color w:val="1F1F1F"/>
                <w:szCs w:val="24"/>
              </w:rPr>
            </w:pPr>
            <w:r w:rsidRPr="00950D79">
              <w:rPr>
                <w:rFonts w:cs="Arial"/>
                <w:color w:val="000000" w:themeColor="text1"/>
              </w:rPr>
              <w:lastRenderedPageBreak/>
              <w:t xml:space="preserve">Recent easements by Welsh Government including supporting childcare facilities to re-open; re-opening schools; lifting the stay local restrictions; and enabling </w:t>
            </w:r>
            <w:r w:rsidRPr="00950D79">
              <w:rPr>
                <w:rFonts w:cs="Arial"/>
                <w:color w:val="000000" w:themeColor="text1"/>
              </w:rPr>
              <w:lastRenderedPageBreak/>
              <w:t>extended households to form will all serve to provide access to more forms of support to women who require it.</w:t>
            </w:r>
          </w:p>
          <w:p w14:paraId="56F9F0D3" w14:textId="77777777" w:rsidR="00CC68D9" w:rsidRDefault="00CC68D9" w:rsidP="001418DE">
            <w:pPr>
              <w:rPr>
                <w:rFonts w:cs="Arial"/>
                <w:color w:val="1F1F1F"/>
                <w:szCs w:val="24"/>
              </w:rPr>
            </w:pPr>
          </w:p>
          <w:p w14:paraId="4D98B860" w14:textId="77777777" w:rsidR="00CC68D9" w:rsidRPr="00D55792" w:rsidRDefault="00CC68D9" w:rsidP="001418DE">
            <w:pPr>
              <w:rPr>
                <w:szCs w:val="24"/>
              </w:rPr>
            </w:pPr>
            <w:r>
              <w:rPr>
                <w:rFonts w:cs="Arial"/>
                <w:color w:val="1F1F1F"/>
                <w:szCs w:val="24"/>
              </w:rPr>
              <w:t xml:space="preserve">Guidance for the indoor play sector will </w:t>
            </w:r>
            <w:r w:rsidRPr="00D55792">
              <w:rPr>
                <w:rFonts w:cs="Arial"/>
                <w:color w:val="1F1F1F"/>
                <w:szCs w:val="24"/>
              </w:rPr>
              <w:t xml:space="preserve">advise that organisations consider the rights of those with protected characteristics and how they will be able to continue to access </w:t>
            </w:r>
            <w:r>
              <w:rPr>
                <w:rFonts w:cs="Arial"/>
                <w:color w:val="1F1F1F"/>
                <w:szCs w:val="24"/>
              </w:rPr>
              <w:t>the</w:t>
            </w:r>
            <w:r w:rsidRPr="00D55792">
              <w:rPr>
                <w:rFonts w:cs="Arial"/>
                <w:color w:val="1F1F1F"/>
                <w:szCs w:val="24"/>
              </w:rPr>
              <w:t xml:space="preserve"> venue / services safely. </w:t>
            </w:r>
          </w:p>
          <w:p w14:paraId="76E62006" w14:textId="77777777" w:rsidR="00CC68D9" w:rsidRDefault="00CC68D9" w:rsidP="001418DE">
            <w:pPr>
              <w:rPr>
                <w:color w:val="FF0000"/>
                <w:szCs w:val="24"/>
              </w:rPr>
            </w:pPr>
          </w:p>
          <w:p w14:paraId="75678E9F" w14:textId="77777777" w:rsidR="00CC68D9" w:rsidRPr="008D0C7C" w:rsidRDefault="00CC68D9" w:rsidP="001418DE">
            <w:pPr>
              <w:rPr>
                <w:color w:val="FF0000"/>
                <w:szCs w:val="24"/>
              </w:rPr>
            </w:pPr>
          </w:p>
          <w:p w14:paraId="20D76120" w14:textId="77777777" w:rsidR="00CC68D9" w:rsidRDefault="00CC68D9" w:rsidP="001418DE">
            <w:pPr>
              <w:rPr>
                <w:rFonts w:cs="Arial"/>
                <w:i/>
                <w:color w:val="000000" w:themeColor="text1"/>
              </w:rPr>
            </w:pPr>
          </w:p>
        </w:tc>
      </w:tr>
      <w:tr w:rsidR="00CC68D9" w14:paraId="42F434EF"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092B95" w14:textId="77777777" w:rsidR="00CC68D9" w:rsidRDefault="00CC68D9" w:rsidP="001418DE">
            <w:pPr>
              <w:rPr>
                <w:rFonts w:cs="Arial"/>
                <w:i/>
                <w:color w:val="000000" w:themeColor="text1"/>
              </w:rPr>
            </w:pPr>
            <w:r>
              <w:rPr>
                <w:rFonts w:cs="Arial"/>
                <w:i/>
                <w:color w:val="000000" w:themeColor="text1"/>
              </w:rPr>
              <w:lastRenderedPageBreak/>
              <w:t>Sexual orientation (Lesbian, Gay and Bisexual)</w:t>
            </w:r>
          </w:p>
        </w:tc>
        <w:tc>
          <w:tcPr>
            <w:tcW w:w="2414" w:type="dxa"/>
            <w:tcBorders>
              <w:top w:val="single" w:sz="4" w:space="0" w:color="auto"/>
              <w:left w:val="single" w:sz="4" w:space="0" w:color="auto"/>
              <w:bottom w:val="single" w:sz="4" w:space="0" w:color="auto"/>
              <w:right w:val="single" w:sz="4" w:space="0" w:color="auto"/>
            </w:tcBorders>
            <w:hideMark/>
          </w:tcPr>
          <w:p w14:paraId="18D9B765" w14:textId="77777777" w:rsidR="00CC68D9" w:rsidRDefault="00CC68D9" w:rsidP="001418DE">
            <w:pPr>
              <w:rPr>
                <w:rFonts w:cs="Arial"/>
                <w:color w:val="000000" w:themeColor="text1"/>
                <w:szCs w:val="24"/>
              </w:rPr>
            </w:pPr>
            <w:r>
              <w:rPr>
                <w:rFonts w:cs="Arial"/>
                <w:color w:val="000000" w:themeColor="text1"/>
                <w:szCs w:val="24"/>
              </w:rPr>
              <w:t>Unlikely to have an impact.</w:t>
            </w:r>
          </w:p>
          <w:p w14:paraId="735D5403" w14:textId="77777777" w:rsidR="00CC68D9" w:rsidRDefault="00CC68D9" w:rsidP="001418DE">
            <w:pPr>
              <w:rPr>
                <w:rFonts w:cs="Arial"/>
                <w:i/>
                <w:color w:val="000000" w:themeColor="text1"/>
                <w:szCs w:val="24"/>
              </w:rPr>
            </w:pPr>
          </w:p>
        </w:tc>
        <w:tc>
          <w:tcPr>
            <w:tcW w:w="2592" w:type="dxa"/>
            <w:tcBorders>
              <w:top w:val="single" w:sz="4" w:space="0" w:color="auto"/>
              <w:left w:val="single" w:sz="4" w:space="0" w:color="auto"/>
              <w:bottom w:val="single" w:sz="4" w:space="0" w:color="auto"/>
              <w:right w:val="single" w:sz="4" w:space="0" w:color="auto"/>
            </w:tcBorders>
          </w:tcPr>
          <w:p w14:paraId="5E6CEB61" w14:textId="77777777" w:rsidR="00CC68D9" w:rsidRPr="00140A58" w:rsidRDefault="00CC68D9" w:rsidP="001418DE">
            <w:pPr>
              <w:rPr>
                <w:rFonts w:cs="Arial"/>
                <w:color w:val="000000" w:themeColor="text1"/>
                <w:szCs w:val="24"/>
              </w:rPr>
            </w:pPr>
            <w:r w:rsidRPr="00140A58">
              <w:rPr>
                <w:rFonts w:cs="Arial"/>
                <w:color w:val="000000" w:themeColor="text1"/>
                <w:szCs w:val="24"/>
              </w:rPr>
              <w:t xml:space="preserve">Insufficient data available to form a proper assessment  </w:t>
            </w:r>
          </w:p>
          <w:p w14:paraId="138EBE7C" w14:textId="77777777" w:rsidR="00CC68D9" w:rsidRPr="00140A58" w:rsidRDefault="00CC68D9" w:rsidP="001418DE">
            <w:pPr>
              <w:rPr>
                <w:rFonts w:cs="Arial"/>
                <w:color w:val="000000" w:themeColor="text1"/>
                <w:szCs w:val="24"/>
              </w:rPr>
            </w:pPr>
          </w:p>
          <w:p w14:paraId="662E5125" w14:textId="77777777" w:rsidR="00CC68D9" w:rsidRDefault="00CC68D9" w:rsidP="001418DE">
            <w:pPr>
              <w:rPr>
                <w:rFonts w:cs="Arial"/>
                <w:color w:val="000000" w:themeColor="text1"/>
                <w:szCs w:val="24"/>
              </w:rPr>
            </w:pPr>
            <w:r w:rsidRPr="00140A58">
              <w:rPr>
                <w:rFonts w:cs="Arial"/>
                <w:color w:val="000000" w:themeColor="text1"/>
                <w:szCs w:val="24"/>
              </w:rPr>
              <w:t xml:space="preserve">As more premises open, people should generally benefit from more opportunities for safe social interaction and opportunities to access services, which will help to reduce loneliness and isolation; provide more access to support; and generally promote wellbeing.  </w:t>
            </w:r>
          </w:p>
          <w:p w14:paraId="19EBD7D4" w14:textId="77777777" w:rsidR="00CC68D9" w:rsidRDefault="00CC68D9" w:rsidP="001418DE">
            <w:pPr>
              <w:rPr>
                <w:rFonts w:cs="Arial"/>
                <w:i/>
              </w:rPr>
            </w:pPr>
            <w:r w:rsidRPr="0029441E">
              <w:rPr>
                <w:rFonts w:cs="Arial"/>
                <w:color w:val="000000" w:themeColor="text1"/>
              </w:rPr>
              <w:t xml:space="preserve"> </w:t>
            </w:r>
          </w:p>
        </w:tc>
        <w:tc>
          <w:tcPr>
            <w:tcW w:w="2857" w:type="dxa"/>
            <w:tcBorders>
              <w:top w:val="single" w:sz="4" w:space="0" w:color="auto"/>
              <w:left w:val="single" w:sz="4" w:space="0" w:color="auto"/>
              <w:bottom w:val="single" w:sz="4" w:space="0" w:color="auto"/>
              <w:right w:val="single" w:sz="4" w:space="0" w:color="auto"/>
            </w:tcBorders>
          </w:tcPr>
          <w:p w14:paraId="07C39C43" w14:textId="77777777" w:rsidR="00CC68D9" w:rsidRPr="00D55792" w:rsidRDefault="00CC68D9" w:rsidP="001418DE">
            <w:pPr>
              <w:rPr>
                <w:szCs w:val="24"/>
              </w:rPr>
            </w:pPr>
            <w:r>
              <w:rPr>
                <w:rFonts w:cs="Arial"/>
                <w:color w:val="1F1F1F"/>
                <w:szCs w:val="24"/>
              </w:rPr>
              <w:t xml:space="preserve">Guidance for the indoor play sector will </w:t>
            </w:r>
            <w:r w:rsidRPr="00D55792">
              <w:rPr>
                <w:rFonts w:cs="Arial"/>
                <w:color w:val="1F1F1F"/>
                <w:szCs w:val="24"/>
              </w:rPr>
              <w:t xml:space="preserve">advise that organisations consider the rights of those with protected characteristics and how they will be able to continue to access </w:t>
            </w:r>
            <w:r>
              <w:rPr>
                <w:rFonts w:cs="Arial"/>
                <w:color w:val="1F1F1F"/>
                <w:szCs w:val="24"/>
              </w:rPr>
              <w:t>the</w:t>
            </w:r>
            <w:r w:rsidRPr="00D55792">
              <w:rPr>
                <w:rFonts w:cs="Arial"/>
                <w:color w:val="1F1F1F"/>
                <w:szCs w:val="24"/>
              </w:rPr>
              <w:t xml:space="preserve"> venue / services safely. </w:t>
            </w:r>
          </w:p>
          <w:p w14:paraId="764E6B50" w14:textId="77777777" w:rsidR="00CC68D9" w:rsidRPr="00371DB0" w:rsidRDefault="00CC68D9" w:rsidP="001418DE">
            <w:pPr>
              <w:rPr>
                <w:rFonts w:cs="Arial"/>
                <w:color w:val="000000" w:themeColor="text1"/>
              </w:rPr>
            </w:pPr>
          </w:p>
          <w:p w14:paraId="3977C603" w14:textId="77777777" w:rsidR="00CC68D9" w:rsidRDefault="00CC68D9" w:rsidP="001418DE">
            <w:pPr>
              <w:rPr>
                <w:rFonts w:cs="Arial"/>
                <w:i/>
                <w:color w:val="000000" w:themeColor="text1"/>
              </w:rPr>
            </w:pPr>
            <w:r>
              <w:rPr>
                <w:i/>
              </w:rPr>
              <w:t xml:space="preserve"> </w:t>
            </w:r>
          </w:p>
        </w:tc>
      </w:tr>
      <w:tr w:rsidR="00CC68D9" w14:paraId="51B6B85E"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9F987B" w14:textId="77777777" w:rsidR="00CC68D9" w:rsidRDefault="00CC68D9" w:rsidP="001418DE">
            <w:pPr>
              <w:rPr>
                <w:rFonts w:cs="Arial"/>
                <w:i/>
                <w:color w:val="000000" w:themeColor="text1"/>
              </w:rPr>
            </w:pPr>
            <w:r>
              <w:rPr>
                <w:rFonts w:cs="Arial"/>
                <w:i/>
                <w:color w:val="000000" w:themeColor="text1"/>
              </w:rPr>
              <w:t>Marriage and civil partnership</w:t>
            </w:r>
          </w:p>
        </w:tc>
        <w:tc>
          <w:tcPr>
            <w:tcW w:w="2414" w:type="dxa"/>
            <w:tcBorders>
              <w:top w:val="single" w:sz="4" w:space="0" w:color="auto"/>
              <w:left w:val="single" w:sz="4" w:space="0" w:color="auto"/>
              <w:bottom w:val="single" w:sz="4" w:space="0" w:color="auto"/>
              <w:right w:val="single" w:sz="4" w:space="0" w:color="auto"/>
            </w:tcBorders>
            <w:hideMark/>
          </w:tcPr>
          <w:p w14:paraId="5EA9707D" w14:textId="77777777" w:rsidR="00CC68D9" w:rsidRDefault="00CC68D9" w:rsidP="001418DE">
            <w:pPr>
              <w:rPr>
                <w:rFonts w:cs="Arial"/>
                <w:color w:val="000000" w:themeColor="text1"/>
                <w:szCs w:val="24"/>
              </w:rPr>
            </w:pPr>
            <w:r>
              <w:rPr>
                <w:rFonts w:cs="Arial"/>
                <w:color w:val="000000" w:themeColor="text1"/>
                <w:szCs w:val="24"/>
              </w:rPr>
              <w:t>Unlikely to have an impact.</w:t>
            </w:r>
          </w:p>
          <w:p w14:paraId="254D4207" w14:textId="77777777" w:rsidR="00CC68D9" w:rsidRDefault="00CC68D9" w:rsidP="001418DE">
            <w:pPr>
              <w:rPr>
                <w:rFonts w:cs="Arial"/>
                <w:color w:val="000000" w:themeColor="text1"/>
              </w:rPr>
            </w:pPr>
          </w:p>
        </w:tc>
        <w:tc>
          <w:tcPr>
            <w:tcW w:w="2592" w:type="dxa"/>
            <w:tcBorders>
              <w:top w:val="single" w:sz="4" w:space="0" w:color="auto"/>
              <w:left w:val="single" w:sz="4" w:space="0" w:color="auto"/>
              <w:bottom w:val="single" w:sz="4" w:space="0" w:color="auto"/>
              <w:right w:val="single" w:sz="4" w:space="0" w:color="auto"/>
            </w:tcBorders>
          </w:tcPr>
          <w:p w14:paraId="1FEADF7C" w14:textId="77777777" w:rsidR="00CC68D9" w:rsidRPr="00140A58" w:rsidRDefault="00CC68D9" w:rsidP="001418DE">
            <w:pPr>
              <w:rPr>
                <w:rFonts w:cs="Arial"/>
                <w:color w:val="000000" w:themeColor="text1"/>
                <w:szCs w:val="24"/>
              </w:rPr>
            </w:pPr>
            <w:r w:rsidRPr="00140A58">
              <w:rPr>
                <w:rFonts w:cs="Arial"/>
                <w:color w:val="000000" w:themeColor="text1"/>
                <w:szCs w:val="24"/>
              </w:rPr>
              <w:t xml:space="preserve">Insufficient data available to form a proper assessment  </w:t>
            </w:r>
          </w:p>
          <w:p w14:paraId="108C62D4" w14:textId="77777777" w:rsidR="00CC68D9" w:rsidRPr="00140A58" w:rsidRDefault="00CC68D9" w:rsidP="001418DE">
            <w:pPr>
              <w:rPr>
                <w:rFonts w:cs="Arial"/>
                <w:color w:val="000000" w:themeColor="text1"/>
                <w:szCs w:val="24"/>
              </w:rPr>
            </w:pPr>
          </w:p>
          <w:p w14:paraId="74B81D21" w14:textId="77777777" w:rsidR="00CC68D9" w:rsidRDefault="00CC68D9" w:rsidP="001418DE">
            <w:pPr>
              <w:rPr>
                <w:rFonts w:cs="Arial"/>
                <w:color w:val="000000" w:themeColor="text1"/>
                <w:szCs w:val="24"/>
              </w:rPr>
            </w:pPr>
            <w:r w:rsidRPr="00140A58">
              <w:rPr>
                <w:rFonts w:cs="Arial"/>
                <w:color w:val="000000" w:themeColor="text1"/>
                <w:szCs w:val="24"/>
              </w:rPr>
              <w:t xml:space="preserve">As more premises open, people should generally benefit from more opportunities for safe social interaction and opportunities to access services, which will help to reduce loneliness and isolation; provide more </w:t>
            </w:r>
            <w:r w:rsidRPr="00140A58">
              <w:rPr>
                <w:rFonts w:cs="Arial"/>
                <w:color w:val="000000" w:themeColor="text1"/>
                <w:szCs w:val="24"/>
              </w:rPr>
              <w:lastRenderedPageBreak/>
              <w:t xml:space="preserve">access to support; and generally promote wellbeing.  </w:t>
            </w:r>
          </w:p>
          <w:p w14:paraId="56426B14" w14:textId="77777777" w:rsidR="00CC68D9" w:rsidRDefault="00CC68D9" w:rsidP="001418DE">
            <w:pPr>
              <w:rPr>
                <w:rFonts w:cs="Arial"/>
                <w:i/>
              </w:rPr>
            </w:pPr>
            <w:r w:rsidRPr="0029441E">
              <w:rPr>
                <w:rFonts w:cs="Arial"/>
                <w:color w:val="000000" w:themeColor="text1"/>
              </w:rPr>
              <w:t xml:space="preserve"> </w:t>
            </w:r>
          </w:p>
        </w:tc>
        <w:tc>
          <w:tcPr>
            <w:tcW w:w="2857" w:type="dxa"/>
            <w:tcBorders>
              <w:top w:val="single" w:sz="4" w:space="0" w:color="auto"/>
              <w:left w:val="single" w:sz="4" w:space="0" w:color="auto"/>
              <w:bottom w:val="single" w:sz="4" w:space="0" w:color="auto"/>
              <w:right w:val="single" w:sz="4" w:space="0" w:color="auto"/>
            </w:tcBorders>
            <w:hideMark/>
          </w:tcPr>
          <w:p w14:paraId="4D12D447" w14:textId="77777777" w:rsidR="00CC68D9" w:rsidRPr="00D55792" w:rsidRDefault="00CC68D9" w:rsidP="001418DE">
            <w:pPr>
              <w:rPr>
                <w:szCs w:val="24"/>
              </w:rPr>
            </w:pPr>
            <w:r>
              <w:rPr>
                <w:rFonts w:cs="Arial"/>
                <w:color w:val="1F1F1F"/>
                <w:szCs w:val="24"/>
              </w:rPr>
              <w:lastRenderedPageBreak/>
              <w:t xml:space="preserve">Guidance for the indoor play sector will </w:t>
            </w:r>
            <w:r w:rsidRPr="00D55792">
              <w:rPr>
                <w:rFonts w:cs="Arial"/>
                <w:color w:val="1F1F1F"/>
                <w:szCs w:val="24"/>
              </w:rPr>
              <w:t xml:space="preserve">advise that organisations consider the rights of those with protected characteristics and how they will be able to continue to access </w:t>
            </w:r>
            <w:r>
              <w:rPr>
                <w:rFonts w:cs="Arial"/>
                <w:color w:val="1F1F1F"/>
                <w:szCs w:val="24"/>
              </w:rPr>
              <w:t>the</w:t>
            </w:r>
            <w:r w:rsidRPr="00D55792">
              <w:rPr>
                <w:rFonts w:cs="Arial"/>
                <w:color w:val="1F1F1F"/>
                <w:szCs w:val="24"/>
              </w:rPr>
              <w:t xml:space="preserve"> venue / services safely. </w:t>
            </w:r>
          </w:p>
          <w:p w14:paraId="666684DA" w14:textId="77777777" w:rsidR="00CC68D9" w:rsidRPr="00371DB0" w:rsidRDefault="00CC68D9" w:rsidP="001418DE">
            <w:pPr>
              <w:rPr>
                <w:rFonts w:cs="Arial"/>
                <w:color w:val="000000" w:themeColor="text1"/>
              </w:rPr>
            </w:pPr>
          </w:p>
          <w:p w14:paraId="06038FF7" w14:textId="77777777" w:rsidR="00CC68D9" w:rsidRDefault="00CC68D9" w:rsidP="001418DE">
            <w:pPr>
              <w:rPr>
                <w:rFonts w:cs="Arial"/>
                <w:i/>
                <w:color w:val="FF0000"/>
              </w:rPr>
            </w:pPr>
            <w:r>
              <w:rPr>
                <w:i/>
              </w:rPr>
              <w:t xml:space="preserve"> </w:t>
            </w:r>
          </w:p>
        </w:tc>
      </w:tr>
      <w:tr w:rsidR="00CC68D9" w:rsidRPr="002D3771" w14:paraId="4D1EC0F4"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CBCC7B" w14:textId="77777777" w:rsidR="00CC68D9" w:rsidRDefault="00CC68D9" w:rsidP="001418DE">
            <w:pPr>
              <w:rPr>
                <w:rFonts w:cs="Arial"/>
                <w:i/>
                <w:color w:val="000000" w:themeColor="text1"/>
              </w:rPr>
            </w:pPr>
            <w:r>
              <w:rPr>
                <w:rFonts w:cs="Arial"/>
                <w:i/>
                <w:color w:val="000000" w:themeColor="text1"/>
              </w:rPr>
              <w:t>Children and young people up to the age of 18</w:t>
            </w:r>
          </w:p>
        </w:tc>
        <w:tc>
          <w:tcPr>
            <w:tcW w:w="2414" w:type="dxa"/>
            <w:tcBorders>
              <w:top w:val="single" w:sz="4" w:space="0" w:color="auto"/>
              <w:left w:val="single" w:sz="4" w:space="0" w:color="auto"/>
              <w:bottom w:val="single" w:sz="4" w:space="0" w:color="auto"/>
              <w:right w:val="single" w:sz="4" w:space="0" w:color="auto"/>
            </w:tcBorders>
            <w:hideMark/>
          </w:tcPr>
          <w:p w14:paraId="4A707ED2" w14:textId="77777777" w:rsidR="00CC68D9" w:rsidRPr="00B84E9A" w:rsidRDefault="00CC68D9" w:rsidP="001418DE">
            <w:pPr>
              <w:rPr>
                <w:rFonts w:cs="Arial"/>
                <w:color w:val="000000" w:themeColor="text1"/>
              </w:rPr>
            </w:pPr>
            <w:r w:rsidRPr="00CA7A49">
              <w:rPr>
                <w:rFonts w:cs="Arial"/>
                <w:b/>
                <w:color w:val="000000" w:themeColor="text1"/>
              </w:rPr>
              <w:t>Positive:</w:t>
            </w:r>
            <w:r w:rsidRPr="00B84E9A">
              <w:rPr>
                <w:rFonts w:cs="Arial"/>
                <w:color w:val="000000" w:themeColor="text1"/>
              </w:rPr>
              <w:t xml:space="preserve"> Will provide increased opportunities to engage in a range of different activities and provide opportunities for more social interaction.</w:t>
            </w:r>
            <w:r w:rsidRPr="00B84E9A">
              <w:rPr>
                <w:rFonts w:cs="Arial"/>
                <w:szCs w:val="24"/>
              </w:rPr>
              <w:t xml:space="preserve"> </w:t>
            </w:r>
          </w:p>
          <w:p w14:paraId="58BE2CF5" w14:textId="77777777" w:rsidR="00CC68D9" w:rsidRPr="00B84E9A" w:rsidRDefault="00CC68D9" w:rsidP="001418DE">
            <w:pPr>
              <w:rPr>
                <w:rFonts w:cs="Arial"/>
                <w:color w:val="000000" w:themeColor="text1"/>
              </w:rPr>
            </w:pPr>
          </w:p>
          <w:p w14:paraId="12CF97B6" w14:textId="77777777" w:rsidR="00CC68D9" w:rsidRPr="00B84E9A" w:rsidRDefault="00CC68D9" w:rsidP="001418DE">
            <w:pPr>
              <w:rPr>
                <w:rFonts w:cs="Arial"/>
                <w:color w:val="000000" w:themeColor="text1"/>
              </w:rPr>
            </w:pPr>
            <w:r w:rsidRPr="00CA7A49">
              <w:rPr>
                <w:rFonts w:cs="Arial"/>
                <w:b/>
                <w:color w:val="000000" w:themeColor="text1"/>
              </w:rPr>
              <w:t>Positive:</w:t>
            </w:r>
            <w:r w:rsidRPr="00B84E9A">
              <w:rPr>
                <w:rFonts w:cs="Arial"/>
                <w:color w:val="000000" w:themeColor="text1"/>
              </w:rPr>
              <w:t xml:space="preserve"> Exercise and sport is an important contributor to the healthy physical, psychological well-being and social development of children. Evidence suggests that children are doing less exercise in Wales now than before the pandemic. Re-enabling activity in this area will widen the scope for children and young people to engage in physical exercise</w:t>
            </w:r>
          </w:p>
        </w:tc>
        <w:tc>
          <w:tcPr>
            <w:tcW w:w="2592" w:type="dxa"/>
            <w:tcBorders>
              <w:top w:val="single" w:sz="4" w:space="0" w:color="auto"/>
              <w:left w:val="single" w:sz="4" w:space="0" w:color="auto"/>
              <w:bottom w:val="single" w:sz="4" w:space="0" w:color="auto"/>
              <w:right w:val="single" w:sz="4" w:space="0" w:color="auto"/>
            </w:tcBorders>
          </w:tcPr>
          <w:p w14:paraId="6E852938" w14:textId="77777777" w:rsidR="00CC68D9" w:rsidRPr="0029441E" w:rsidRDefault="00CC68D9" w:rsidP="001418DE">
            <w:pPr>
              <w:rPr>
                <w:rFonts w:asciiTheme="minorHAnsi" w:hAnsiTheme="minorHAnsi" w:cstheme="minorHAnsi"/>
              </w:rPr>
            </w:pPr>
            <w:r w:rsidRPr="0029441E">
              <w:rPr>
                <w:rFonts w:cs="Arial"/>
              </w:rPr>
              <w:t>The survey ‘</w:t>
            </w:r>
            <w:hyperlink r:id="rId13" w:history="1">
              <w:r w:rsidRPr="0029441E">
                <w:rPr>
                  <w:rStyle w:val="Hyperddolen"/>
                  <w:rFonts w:cs="Arial"/>
                </w:rPr>
                <w:t>Coronavirus and Me</w:t>
              </w:r>
            </w:hyperlink>
            <w:r w:rsidRPr="0029441E">
              <w:rPr>
                <w:rFonts w:cs="Arial"/>
              </w:rPr>
              <w:t>’ of approx.  23,000 children and young people in Wales provides some insight into their experiences of the coronavirus pandemic and their reactions, hopes and concerns for the future (Article 12, UNCRC).</w:t>
            </w:r>
            <w:r w:rsidRPr="0029441E">
              <w:rPr>
                <w:rFonts w:asciiTheme="minorHAnsi" w:hAnsiTheme="minorHAnsi" w:cstheme="minorHAnsi"/>
              </w:rPr>
              <w:t xml:space="preserve">  </w:t>
            </w:r>
          </w:p>
          <w:p w14:paraId="058B2F8D" w14:textId="77777777" w:rsidR="00CC68D9" w:rsidRPr="0029441E" w:rsidRDefault="00CC68D9" w:rsidP="001418DE">
            <w:pPr>
              <w:rPr>
                <w:rFonts w:cs="Arial"/>
              </w:rPr>
            </w:pPr>
          </w:p>
          <w:p w14:paraId="47ABDE68" w14:textId="77777777" w:rsidR="00CC68D9" w:rsidRDefault="00CC68D9" w:rsidP="001418DE">
            <w:pPr>
              <w:rPr>
                <w:rFonts w:cs="Arial"/>
                <w:i/>
                <w:color w:val="000000" w:themeColor="text1"/>
              </w:rPr>
            </w:pPr>
            <w:r w:rsidRPr="0029441E">
              <w:rPr>
                <w:rFonts w:cs="Arial"/>
                <w:i/>
                <w:color w:val="000000" w:themeColor="text1"/>
              </w:rPr>
              <w:t>Sport Wales survey conducted by Savanta ComRes from 8-12 May 2020:</w:t>
            </w:r>
            <w:r w:rsidRPr="0029441E">
              <w:rPr>
                <w:rFonts w:cs="Arial"/>
                <w:i/>
                <w:color w:val="000000" w:themeColor="text1"/>
              </w:rPr>
              <w:br/>
            </w:r>
            <w:r w:rsidRPr="0029441E">
              <w:rPr>
                <w:rFonts w:cs="Arial"/>
                <w:i/>
                <w:color w:val="000000" w:themeColor="text1"/>
              </w:rPr>
              <w:br/>
              <w:t>“26% report that their children are doing more activity since the COVID-19 restrictions, while 35% report that their children are doing less. Overall this suggests a net reduction of 9 percentage points.”</w:t>
            </w:r>
          </w:p>
          <w:p w14:paraId="27801FBD" w14:textId="77777777" w:rsidR="00CC68D9" w:rsidRPr="0029441E" w:rsidRDefault="00CC68D9" w:rsidP="001418DE">
            <w:pPr>
              <w:rPr>
                <w:rFonts w:cs="Arial"/>
              </w:rPr>
            </w:pPr>
          </w:p>
        </w:tc>
        <w:tc>
          <w:tcPr>
            <w:tcW w:w="2857" w:type="dxa"/>
            <w:tcBorders>
              <w:top w:val="single" w:sz="4" w:space="0" w:color="auto"/>
              <w:left w:val="single" w:sz="4" w:space="0" w:color="auto"/>
              <w:bottom w:val="single" w:sz="4" w:space="0" w:color="auto"/>
              <w:right w:val="single" w:sz="4" w:space="0" w:color="auto"/>
            </w:tcBorders>
          </w:tcPr>
          <w:p w14:paraId="794E54F9" w14:textId="77777777" w:rsidR="00CC68D9" w:rsidRPr="002D3771" w:rsidRDefault="00CC68D9" w:rsidP="001418DE">
            <w:pPr>
              <w:rPr>
                <w:rFonts w:cs="Arial"/>
                <w:color w:val="FF0000"/>
              </w:rPr>
            </w:pPr>
            <w:r w:rsidRPr="002D3771">
              <w:rPr>
                <w:rFonts w:cs="Arial"/>
              </w:rPr>
              <w:t xml:space="preserve">No mitigation required. </w:t>
            </w:r>
            <w:r w:rsidRPr="002D3771">
              <w:rPr>
                <w:rFonts w:cs="Arial"/>
                <w:color w:val="FF0000"/>
              </w:rPr>
              <w:t xml:space="preserve"> </w:t>
            </w:r>
          </w:p>
        </w:tc>
      </w:tr>
      <w:tr w:rsidR="00CC68D9" w14:paraId="0DE914B6" w14:textId="77777777" w:rsidTr="001418DE">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DD2B15" w14:textId="77777777" w:rsidR="00CC68D9" w:rsidRDefault="00CC68D9" w:rsidP="001418DE">
            <w:pPr>
              <w:rPr>
                <w:rFonts w:cs="Arial"/>
                <w:color w:val="000000" w:themeColor="text1"/>
              </w:rPr>
            </w:pPr>
            <w:r>
              <w:rPr>
                <w:rFonts w:cs="Arial"/>
                <w:color w:val="000000" w:themeColor="text1"/>
              </w:rPr>
              <w:t>Low-income households</w:t>
            </w:r>
          </w:p>
        </w:tc>
        <w:tc>
          <w:tcPr>
            <w:tcW w:w="2414" w:type="dxa"/>
            <w:tcBorders>
              <w:top w:val="single" w:sz="4" w:space="0" w:color="auto"/>
              <w:left w:val="single" w:sz="4" w:space="0" w:color="auto"/>
              <w:bottom w:val="single" w:sz="4" w:space="0" w:color="auto"/>
              <w:right w:val="single" w:sz="4" w:space="0" w:color="auto"/>
            </w:tcBorders>
            <w:hideMark/>
          </w:tcPr>
          <w:p w14:paraId="52CA8152" w14:textId="77777777" w:rsidR="00CC68D9" w:rsidRDefault="00CC68D9" w:rsidP="001418DE">
            <w:pPr>
              <w:rPr>
                <w:rFonts w:cs="Arial"/>
                <w:color w:val="000000" w:themeColor="text1"/>
                <w:szCs w:val="24"/>
              </w:rPr>
            </w:pPr>
            <w:r w:rsidRPr="00CA7A49">
              <w:rPr>
                <w:rFonts w:cs="Arial"/>
                <w:b/>
                <w:color w:val="000000" w:themeColor="text1"/>
              </w:rPr>
              <w:t>Positive:</w:t>
            </w:r>
            <w:r>
              <w:rPr>
                <w:rFonts w:cs="Arial"/>
                <w:color w:val="000000" w:themeColor="text1"/>
              </w:rPr>
              <w:t xml:space="preserve"> Indoor play areas are usually located in areas that are easily accessible to families by foot or public transport as well as by car, and often alongside other facilities aimed at children and families.  While some of these centres charge entry fees, they are generally kept low, with family deals and other incentives to make them affordable.  They represent an alternative to outdoor playgrounds and parks in poor </w:t>
            </w:r>
            <w:r>
              <w:rPr>
                <w:rFonts w:cs="Arial"/>
                <w:color w:val="000000" w:themeColor="text1"/>
              </w:rPr>
              <w:lastRenderedPageBreak/>
              <w:t xml:space="preserve">weather and are particularly important to people with no outdoor space. </w:t>
            </w:r>
          </w:p>
          <w:p w14:paraId="3DD00593" w14:textId="77777777" w:rsidR="00CC68D9" w:rsidRDefault="00CC68D9" w:rsidP="001418DE">
            <w:pPr>
              <w:rPr>
                <w:rFonts w:cs="Arial"/>
                <w:szCs w:val="24"/>
              </w:rPr>
            </w:pPr>
            <w:r>
              <w:rPr>
                <w:rFonts w:cs="Arial"/>
                <w:szCs w:val="24"/>
              </w:rPr>
              <w:t xml:space="preserve"> </w:t>
            </w:r>
          </w:p>
          <w:p w14:paraId="7072A99F" w14:textId="77777777" w:rsidR="00CC68D9" w:rsidRDefault="00CC68D9" w:rsidP="001418DE">
            <w:pPr>
              <w:rPr>
                <w:rFonts w:cs="Arial"/>
                <w:color w:val="000000" w:themeColor="text1"/>
                <w:szCs w:val="24"/>
              </w:rPr>
            </w:pPr>
          </w:p>
          <w:p w14:paraId="79E23511" w14:textId="77777777" w:rsidR="00CC68D9" w:rsidRDefault="00CC68D9" w:rsidP="001418DE">
            <w:pPr>
              <w:rPr>
                <w:rFonts w:cs="Arial"/>
                <w:color w:val="000000" w:themeColor="text1"/>
                <w:szCs w:val="24"/>
              </w:rPr>
            </w:pPr>
          </w:p>
          <w:p w14:paraId="761AB433" w14:textId="77777777" w:rsidR="00CC68D9" w:rsidRDefault="00CC68D9" w:rsidP="001418DE">
            <w:pPr>
              <w:rPr>
                <w:rFonts w:cs="Arial"/>
                <w:color w:val="000000" w:themeColor="text1"/>
                <w:szCs w:val="24"/>
              </w:rPr>
            </w:pPr>
          </w:p>
        </w:tc>
        <w:tc>
          <w:tcPr>
            <w:tcW w:w="2592" w:type="dxa"/>
            <w:tcBorders>
              <w:top w:val="single" w:sz="4" w:space="0" w:color="auto"/>
              <w:left w:val="single" w:sz="4" w:space="0" w:color="auto"/>
              <w:bottom w:val="single" w:sz="4" w:space="0" w:color="auto"/>
              <w:right w:val="single" w:sz="4" w:space="0" w:color="auto"/>
            </w:tcBorders>
            <w:hideMark/>
          </w:tcPr>
          <w:p w14:paraId="797FFF6F" w14:textId="77777777" w:rsidR="00CC68D9" w:rsidRPr="00B84E9A" w:rsidRDefault="00CC68D9" w:rsidP="001418DE">
            <w:pPr>
              <w:rPr>
                <w:rFonts w:cs="Arial"/>
                <w:color w:val="000000" w:themeColor="text1"/>
              </w:rPr>
            </w:pPr>
            <w:r w:rsidRPr="00B84E9A">
              <w:rPr>
                <w:rFonts w:cs="Arial"/>
                <w:color w:val="000000" w:themeColor="text1"/>
              </w:rPr>
              <w:lastRenderedPageBreak/>
              <w:t>Sport Wales survey conducted by Savanta ComRes from 8-12 May 2020:</w:t>
            </w:r>
            <w:r w:rsidRPr="00B84E9A">
              <w:rPr>
                <w:rFonts w:cs="Arial"/>
                <w:color w:val="000000" w:themeColor="text1"/>
              </w:rPr>
              <w:br/>
            </w:r>
            <w:r w:rsidRPr="00B84E9A">
              <w:rPr>
                <w:rFonts w:cs="Arial"/>
                <w:color w:val="000000" w:themeColor="text1"/>
              </w:rPr>
              <w:br/>
              <w:t xml:space="preserve">“There are however significant variations within certain demographic groups. There is a net increase in activity levels amongst those from higher socioeconomic backgrounds (+7 percentage points), however there is a net decrease amongst those from lower socioeconomic </w:t>
            </w:r>
            <w:r w:rsidRPr="00B84E9A">
              <w:rPr>
                <w:rFonts w:cs="Arial"/>
                <w:color w:val="000000" w:themeColor="text1"/>
              </w:rPr>
              <w:lastRenderedPageBreak/>
              <w:t>backgrounds (-4 percentage points).”</w:t>
            </w:r>
          </w:p>
          <w:p w14:paraId="3E774FB8" w14:textId="77777777" w:rsidR="00CC68D9" w:rsidRPr="00B84E9A" w:rsidRDefault="00CC68D9" w:rsidP="001418DE">
            <w:pPr>
              <w:rPr>
                <w:rFonts w:cs="Arial"/>
                <w:color w:val="000000" w:themeColor="text1"/>
              </w:rPr>
            </w:pPr>
          </w:p>
          <w:p w14:paraId="023A0C35" w14:textId="77777777" w:rsidR="00CC68D9" w:rsidRPr="00CD231B" w:rsidRDefault="00CC68D9" w:rsidP="001418DE">
            <w:pPr>
              <w:rPr>
                <w:rFonts w:cs="Arial"/>
              </w:rPr>
            </w:pPr>
            <w:r w:rsidRPr="00B84E9A">
              <w:rPr>
                <w:rFonts w:cs="Arial"/>
                <w:color w:val="000000" w:themeColor="text1"/>
              </w:rPr>
              <w:t>“Those children from lower socio economic backgrounds appear to be experiencing the greatest reductions (LOW SES: More 23% Less 36% = -13 percentage points HIGH SES: More 28% Less 35%  = -7 percentage points)”</w:t>
            </w:r>
          </w:p>
        </w:tc>
        <w:tc>
          <w:tcPr>
            <w:tcW w:w="2857" w:type="dxa"/>
            <w:tcBorders>
              <w:top w:val="single" w:sz="4" w:space="0" w:color="auto"/>
              <w:left w:val="single" w:sz="4" w:space="0" w:color="auto"/>
              <w:bottom w:val="single" w:sz="4" w:space="0" w:color="auto"/>
              <w:right w:val="single" w:sz="4" w:space="0" w:color="auto"/>
            </w:tcBorders>
            <w:hideMark/>
          </w:tcPr>
          <w:p w14:paraId="07F2EFE0" w14:textId="77777777" w:rsidR="00CC68D9" w:rsidRDefault="00CC68D9" w:rsidP="001418DE">
            <w:pPr>
              <w:rPr>
                <w:rFonts w:cs="Arial"/>
                <w:color w:val="000000" w:themeColor="text1"/>
              </w:rPr>
            </w:pPr>
            <w:r>
              <w:rPr>
                <w:rFonts w:cs="Arial"/>
                <w:color w:val="000000" w:themeColor="text1"/>
              </w:rPr>
              <w:lastRenderedPageBreak/>
              <w:t>G</w:t>
            </w:r>
            <w:r w:rsidRPr="0029441E">
              <w:rPr>
                <w:rFonts w:cs="Arial"/>
                <w:color w:val="000000" w:themeColor="text1"/>
              </w:rPr>
              <w:t xml:space="preserve">uidance on reopening </w:t>
            </w:r>
            <w:r>
              <w:rPr>
                <w:rFonts w:cs="Arial"/>
                <w:color w:val="000000" w:themeColor="text1"/>
              </w:rPr>
              <w:t>indoor play areas will</w:t>
            </w:r>
            <w:r w:rsidRPr="0029441E">
              <w:rPr>
                <w:rFonts w:cs="Arial"/>
                <w:color w:val="000000" w:themeColor="text1"/>
              </w:rPr>
              <w:t xml:space="preserve"> advise making</w:t>
            </w:r>
            <w:r>
              <w:rPr>
                <w:rFonts w:cs="Arial"/>
                <w:color w:val="000000" w:themeColor="text1"/>
              </w:rPr>
              <w:t xml:space="preserve"> provision to allow bookings from people who do not have access to the Internet. </w:t>
            </w:r>
          </w:p>
        </w:tc>
      </w:tr>
    </w:tbl>
    <w:p w14:paraId="20F2D15D" w14:textId="22759C97" w:rsidR="00C961D4" w:rsidRDefault="00C961D4">
      <w:pPr>
        <w:suppressAutoHyphens w:val="0"/>
        <w:autoSpaceDN/>
        <w:spacing w:line="259" w:lineRule="auto"/>
        <w:rPr>
          <w:rFonts w:ascii="Arial" w:hAnsi="Arial" w:cs="Arial"/>
          <w:b/>
          <w:sz w:val="24"/>
          <w:szCs w:val="24"/>
        </w:rPr>
      </w:pPr>
    </w:p>
    <w:sectPr w:rsidR="00C961D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C71E6" w14:textId="77777777" w:rsidR="00D87125" w:rsidRDefault="00D87125" w:rsidP="00AF5E0D">
      <w:pPr>
        <w:spacing w:after="0" w:line="240" w:lineRule="auto"/>
      </w:pPr>
      <w:r>
        <w:separator/>
      </w:r>
    </w:p>
  </w:endnote>
  <w:endnote w:type="continuationSeparator" w:id="0">
    <w:p w14:paraId="535445DF" w14:textId="77777777" w:rsidR="00D87125" w:rsidRDefault="00D87125" w:rsidP="00AF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BD95" w14:textId="6023F606" w:rsidR="00836814" w:rsidRDefault="00836814">
    <w:pPr>
      <w:pStyle w:val="Troedyn"/>
      <w:jc w:val="center"/>
    </w:pPr>
    <w:r>
      <w:rPr>
        <w:rFonts w:ascii="Arial" w:hAnsi="Arial" w:cs="Arial"/>
      </w:rPr>
      <w:t xml:space="preserve">Page </w:t>
    </w: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sidR="00D11C2F">
      <w:rPr>
        <w:rFonts w:ascii="Arial" w:hAnsi="Arial" w:cs="Arial"/>
        <w:b/>
        <w:bCs/>
        <w:noProof/>
      </w:rPr>
      <w:t>1</w:t>
    </w:r>
    <w:r>
      <w:rPr>
        <w:rFonts w:ascii="Arial" w:hAnsi="Arial" w:cs="Arial"/>
        <w:b/>
        <w:bCs/>
      </w:rPr>
      <w:fldChar w:fldCharType="end"/>
    </w:r>
    <w:r>
      <w:rPr>
        <w:rFonts w:ascii="Arial" w:hAnsi="Arial" w:cs="Arial"/>
      </w:rPr>
      <w:t xml:space="preserve"> of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sidR="00D11C2F">
      <w:rPr>
        <w:rFonts w:ascii="Arial" w:hAnsi="Arial" w:cs="Arial"/>
        <w:b/>
        <w:bCs/>
        <w:noProof/>
      </w:rPr>
      <w:t>14</w:t>
    </w:r>
    <w:r>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18E0C" w14:textId="77777777" w:rsidR="00D87125" w:rsidRDefault="00D87125" w:rsidP="00AF5E0D">
      <w:pPr>
        <w:spacing w:after="0" w:line="240" w:lineRule="auto"/>
      </w:pPr>
      <w:r>
        <w:separator/>
      </w:r>
    </w:p>
  </w:footnote>
  <w:footnote w:type="continuationSeparator" w:id="0">
    <w:p w14:paraId="53A34051" w14:textId="77777777" w:rsidR="00D87125" w:rsidRDefault="00D87125" w:rsidP="00AF5E0D">
      <w:pPr>
        <w:spacing w:after="0" w:line="240" w:lineRule="auto"/>
      </w:pPr>
      <w:r>
        <w:continuationSeparator/>
      </w:r>
    </w:p>
  </w:footnote>
  <w:footnote w:id="1">
    <w:p w14:paraId="63150A8B" w14:textId="77777777" w:rsidR="00FF291F" w:rsidRDefault="00FF291F" w:rsidP="00FF291F">
      <w:pPr>
        <w:pStyle w:val="TestunTroednodyn"/>
      </w:pPr>
      <w:r>
        <w:rPr>
          <w:rStyle w:val="CyfeirnodTroednodyn"/>
        </w:rPr>
        <w:footnoteRef/>
      </w:r>
      <w:r>
        <w:t xml:space="preserve"> </w:t>
      </w:r>
      <w:hyperlink r:id="rId1" w:history="1">
        <w:r w:rsidRPr="00EA37C1">
          <w:rPr>
            <w:rStyle w:val="Hyperddolen"/>
          </w:rPr>
          <w:t>https://pediatrics.aappublications.org/content/119/1/182</w:t>
        </w:r>
      </w:hyperlink>
    </w:p>
    <w:p w14:paraId="39426205" w14:textId="77777777" w:rsidR="00FF291F" w:rsidRDefault="00FF291F" w:rsidP="00FF291F">
      <w:pPr>
        <w:pStyle w:val="TestunTroednodyn"/>
      </w:pPr>
    </w:p>
  </w:footnote>
  <w:footnote w:id="2">
    <w:p w14:paraId="42B72665" w14:textId="77777777" w:rsidR="00FF291F" w:rsidRDefault="00FF291F" w:rsidP="00FF291F">
      <w:pPr>
        <w:pStyle w:val="TestunTroednodyn"/>
      </w:pPr>
      <w:r>
        <w:rPr>
          <w:rStyle w:val="CyfeirnodTroednodyn"/>
        </w:rPr>
        <w:footnoteRef/>
      </w:r>
      <w:hyperlink r:id="rId2" w:history="1">
        <w:r w:rsidRPr="00EA37C1">
          <w:rPr>
            <w:rStyle w:val="Hyperddolen"/>
          </w:rPr>
          <w:t>https://www.researchgate.net/publication/281283103_Preventing_childhood_obesity_BMA_June_2005</w:t>
        </w:r>
      </w:hyperlink>
      <w:r>
        <w:t xml:space="preserve"> </w:t>
      </w:r>
    </w:p>
  </w:footnote>
  <w:footnote w:id="3">
    <w:p w14:paraId="052580D3" w14:textId="77777777" w:rsidR="001C4E5E" w:rsidRDefault="001C4E5E" w:rsidP="001C4E5E">
      <w:pPr>
        <w:pStyle w:val="TestunTroednodyn"/>
      </w:pPr>
      <w:r>
        <w:rPr>
          <w:rStyle w:val="CyfeirnodTroednodyn"/>
        </w:rPr>
        <w:footnoteRef/>
      </w:r>
      <w:r>
        <w:t xml:space="preserve"> Covering the </w:t>
      </w:r>
      <w:r w:rsidRPr="005611F5">
        <w:t>period 15</w:t>
      </w:r>
      <w:r w:rsidRPr="005611F5">
        <w:rPr>
          <w:vertAlign w:val="superscript"/>
        </w:rPr>
        <w:t>th</w:t>
      </w:r>
      <w:r w:rsidRPr="005611F5">
        <w:t xml:space="preserve"> to 28</w:t>
      </w:r>
      <w:r w:rsidRPr="005611F5">
        <w:rPr>
          <w:vertAlign w:val="superscript"/>
        </w:rPr>
        <w:t>th</w:t>
      </w:r>
      <w:r w:rsidRPr="005611F5">
        <w:t xml:space="preserve"> of June</w:t>
      </w:r>
      <w:r>
        <w:t xml:space="preserve">, 2020. </w:t>
      </w:r>
    </w:p>
  </w:footnote>
  <w:footnote w:id="4">
    <w:p w14:paraId="41CC344B" w14:textId="77777777" w:rsidR="00CC68D9" w:rsidRDefault="00CC68D9" w:rsidP="00CC68D9">
      <w:pPr>
        <w:pStyle w:val="TestunTroednodyn"/>
      </w:pPr>
      <w:r>
        <w:rPr>
          <w:rStyle w:val="CyfeirnodTroednodyn"/>
        </w:rPr>
        <w:footnoteRef/>
      </w:r>
      <w:r>
        <w:t xml:space="preserve"> </w:t>
      </w:r>
      <w:hyperlink r:id="rId3" w:history="1">
        <w:r w:rsidRPr="00EA37C1">
          <w:rPr>
            <w:rStyle w:val="Hyperddolen"/>
          </w:rPr>
          <w:t>https://pediatrics.aappublications.org/content/119/1/182</w:t>
        </w:r>
      </w:hyperlink>
    </w:p>
    <w:p w14:paraId="51FEF5F4" w14:textId="77777777" w:rsidR="00CC68D9" w:rsidRDefault="00CC68D9" w:rsidP="00CC68D9">
      <w:pPr>
        <w:pStyle w:val="TestunTroednodyn"/>
      </w:pPr>
    </w:p>
  </w:footnote>
  <w:footnote w:id="5">
    <w:p w14:paraId="3D2E6590" w14:textId="77777777" w:rsidR="00CC68D9" w:rsidRDefault="00CC68D9" w:rsidP="00CC68D9">
      <w:pPr>
        <w:pStyle w:val="TestunTroednodyn"/>
      </w:pPr>
      <w:r>
        <w:rPr>
          <w:rStyle w:val="CyfeirnodTroednodyn"/>
        </w:rPr>
        <w:footnoteRef/>
      </w:r>
      <w:hyperlink r:id="rId4" w:history="1">
        <w:r w:rsidRPr="00EA37C1">
          <w:rPr>
            <w:rStyle w:val="Hyperddolen"/>
          </w:rPr>
          <w:t>https://www.researchgate.net/publication/281283103_Preventing_childhood_obesity_BMA_June_2005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9B2"/>
    <w:multiLevelType w:val="hybridMultilevel"/>
    <w:tmpl w:val="550C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E3FC2"/>
    <w:multiLevelType w:val="hybridMultilevel"/>
    <w:tmpl w:val="759A2684"/>
    <w:lvl w:ilvl="0" w:tplc="0809000F">
      <w:start w:val="1"/>
      <w:numFmt w:val="decimal"/>
      <w:lvlText w:val="%1."/>
      <w:lvlJc w:val="left"/>
      <w:pPr>
        <w:ind w:left="502"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56532D"/>
    <w:multiLevelType w:val="hybridMultilevel"/>
    <w:tmpl w:val="480C507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C02AE3"/>
    <w:multiLevelType w:val="hybridMultilevel"/>
    <w:tmpl w:val="EB8E3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874E66"/>
    <w:multiLevelType w:val="multilevel"/>
    <w:tmpl w:val="BDA4DD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F745F0"/>
    <w:multiLevelType w:val="hybridMultilevel"/>
    <w:tmpl w:val="752A6066"/>
    <w:lvl w:ilvl="0" w:tplc="446A184C">
      <w:start w:val="1"/>
      <w:numFmt w:val="decimal"/>
      <w:lvlText w:val="%1."/>
      <w:lvlJc w:val="left"/>
      <w:pPr>
        <w:ind w:left="720" w:hanging="360"/>
      </w:pPr>
      <w:rPr>
        <w:i w:val="0"/>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A2B46"/>
    <w:multiLevelType w:val="hybridMultilevel"/>
    <w:tmpl w:val="F7D2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62044"/>
    <w:multiLevelType w:val="hybridMultilevel"/>
    <w:tmpl w:val="2D44F8A6"/>
    <w:lvl w:ilvl="0" w:tplc="08090001">
      <w:start w:val="1"/>
      <w:numFmt w:val="bullet"/>
      <w:lvlText w:val=""/>
      <w:lvlJc w:val="left"/>
      <w:pPr>
        <w:ind w:left="720" w:hanging="360"/>
      </w:pPr>
      <w:rPr>
        <w:rFonts w:ascii="Symbol" w:hAnsi="Symbol" w:hint="default"/>
        <w:i w:val="0"/>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E1E37"/>
    <w:multiLevelType w:val="hybridMultilevel"/>
    <w:tmpl w:val="BB3EE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228AE"/>
    <w:multiLevelType w:val="hybridMultilevel"/>
    <w:tmpl w:val="90AA42E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3411B"/>
    <w:multiLevelType w:val="hybridMultilevel"/>
    <w:tmpl w:val="EF86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069AE"/>
    <w:multiLevelType w:val="hybridMultilevel"/>
    <w:tmpl w:val="E974A2F4"/>
    <w:lvl w:ilvl="0" w:tplc="08090001">
      <w:start w:val="1"/>
      <w:numFmt w:val="bullet"/>
      <w:lvlText w:val=""/>
      <w:lvlJc w:val="left"/>
      <w:pPr>
        <w:ind w:left="723" w:hanging="360"/>
      </w:pPr>
      <w:rPr>
        <w:rFonts w:ascii="Symbol" w:hAnsi="Symbol" w:hint="default"/>
      </w:rPr>
    </w:lvl>
    <w:lvl w:ilvl="1" w:tplc="08090001">
      <w:start w:val="1"/>
      <w:numFmt w:val="bullet"/>
      <w:lvlText w:val=""/>
      <w:lvlJc w:val="left"/>
      <w:pPr>
        <w:ind w:left="1443" w:hanging="360"/>
      </w:pPr>
      <w:rPr>
        <w:rFonts w:ascii="Symbol" w:hAnsi="Symbol" w:hint="default"/>
      </w:rPr>
    </w:lvl>
    <w:lvl w:ilvl="2" w:tplc="0809001B">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2" w15:restartNumberingAfterBreak="0">
    <w:nsid w:val="2C69642A"/>
    <w:multiLevelType w:val="hybridMultilevel"/>
    <w:tmpl w:val="B9DCBF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91EA1"/>
    <w:multiLevelType w:val="hybridMultilevel"/>
    <w:tmpl w:val="769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B4B23"/>
    <w:multiLevelType w:val="hybridMultilevel"/>
    <w:tmpl w:val="6E0C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1377D"/>
    <w:multiLevelType w:val="hybridMultilevel"/>
    <w:tmpl w:val="F3280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D2284"/>
    <w:multiLevelType w:val="hybridMultilevel"/>
    <w:tmpl w:val="BC3A9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1A3263"/>
    <w:multiLevelType w:val="hybridMultilevel"/>
    <w:tmpl w:val="3C2CD85C"/>
    <w:lvl w:ilvl="0" w:tplc="02C45D6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0C46BE"/>
    <w:multiLevelType w:val="hybridMultilevel"/>
    <w:tmpl w:val="4E98A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5B4512"/>
    <w:multiLevelType w:val="multilevel"/>
    <w:tmpl w:val="F07A3A1E"/>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78D3C5B"/>
    <w:multiLevelType w:val="hybridMultilevel"/>
    <w:tmpl w:val="5218D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56078E"/>
    <w:multiLevelType w:val="hybridMultilevel"/>
    <w:tmpl w:val="FD3448F6"/>
    <w:lvl w:ilvl="0" w:tplc="0809000F">
      <w:start w:val="1"/>
      <w:numFmt w:val="decimal"/>
      <w:lvlText w:val="%1."/>
      <w:lvlJc w:val="left"/>
      <w:pPr>
        <w:ind w:left="363" w:hanging="360"/>
      </w:pPr>
    </w:lvl>
    <w:lvl w:ilvl="1" w:tplc="08090001">
      <w:start w:val="1"/>
      <w:numFmt w:val="bullet"/>
      <w:lvlText w:val=""/>
      <w:lvlJc w:val="left"/>
      <w:pPr>
        <w:ind w:left="1083" w:hanging="360"/>
      </w:pPr>
      <w:rPr>
        <w:rFonts w:ascii="Symbol" w:hAnsi="Symbol" w:hint="default"/>
      </w:r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2" w15:restartNumberingAfterBreak="0">
    <w:nsid w:val="4E682415"/>
    <w:multiLevelType w:val="hybridMultilevel"/>
    <w:tmpl w:val="C1C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92195"/>
    <w:multiLevelType w:val="hybridMultilevel"/>
    <w:tmpl w:val="895C12E6"/>
    <w:lvl w:ilvl="0" w:tplc="0809000F">
      <w:start w:val="6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A121A9E"/>
    <w:multiLevelType w:val="hybridMultilevel"/>
    <w:tmpl w:val="BBF66CA2"/>
    <w:lvl w:ilvl="0" w:tplc="5AACFCA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A4385"/>
    <w:multiLevelType w:val="hybridMultilevel"/>
    <w:tmpl w:val="87F4208C"/>
    <w:lvl w:ilvl="0" w:tplc="0809000F">
      <w:start w:val="1"/>
      <w:numFmt w:val="decimal"/>
      <w:lvlText w:val="%1."/>
      <w:lvlJc w:val="lef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6901DB"/>
    <w:multiLevelType w:val="hybridMultilevel"/>
    <w:tmpl w:val="2DBCEF9C"/>
    <w:lvl w:ilvl="0" w:tplc="446A184C">
      <w:start w:val="1"/>
      <w:numFmt w:val="decimal"/>
      <w:lvlText w:val="%1."/>
      <w:lvlJc w:val="left"/>
      <w:pPr>
        <w:ind w:left="360" w:hanging="360"/>
      </w:pPr>
      <w:rPr>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12802AF"/>
    <w:multiLevelType w:val="hybridMultilevel"/>
    <w:tmpl w:val="4D74C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A94E68"/>
    <w:multiLevelType w:val="hybridMultilevel"/>
    <w:tmpl w:val="66F0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84A64"/>
    <w:multiLevelType w:val="hybridMultilevel"/>
    <w:tmpl w:val="3364D5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56591C"/>
    <w:multiLevelType w:val="hybridMultilevel"/>
    <w:tmpl w:val="BBAC2F8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0550"/>
    <w:multiLevelType w:val="hybridMultilevel"/>
    <w:tmpl w:val="9A96DE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146681"/>
    <w:multiLevelType w:val="multilevel"/>
    <w:tmpl w:val="6366DFD4"/>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2DC2D4F"/>
    <w:multiLevelType w:val="hybridMultilevel"/>
    <w:tmpl w:val="47749492"/>
    <w:lvl w:ilvl="0" w:tplc="2328200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8F7BA5"/>
    <w:multiLevelType w:val="hybridMultilevel"/>
    <w:tmpl w:val="771AB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05583E"/>
    <w:multiLevelType w:val="hybridMultilevel"/>
    <w:tmpl w:val="2DF2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3"/>
  </w:num>
  <w:num w:numId="4">
    <w:abstractNumId w:val="32"/>
  </w:num>
  <w:num w:numId="5">
    <w:abstractNumId w:val="25"/>
  </w:num>
  <w:num w:numId="6">
    <w:abstractNumId w:val="9"/>
  </w:num>
  <w:num w:numId="7">
    <w:abstractNumId w:val="30"/>
  </w:num>
  <w:num w:numId="8">
    <w:abstractNumId w:val="29"/>
  </w:num>
  <w:num w:numId="9">
    <w:abstractNumId w:val="21"/>
  </w:num>
  <w:num w:numId="10">
    <w:abstractNumId w:val="11"/>
  </w:num>
  <w:num w:numId="11">
    <w:abstractNumId w:val="34"/>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4"/>
  </w:num>
  <w:num w:numId="15">
    <w:abstractNumId w:val="31"/>
  </w:num>
  <w:num w:numId="16">
    <w:abstractNumId w:val="1"/>
  </w:num>
  <w:num w:numId="17">
    <w:abstractNumId w:val="26"/>
  </w:num>
  <w:num w:numId="18">
    <w:abstractNumId w:val="22"/>
  </w:num>
  <w:num w:numId="19">
    <w:abstractNumId w:val="12"/>
  </w:num>
  <w:num w:numId="20">
    <w:abstractNumId w:val="2"/>
  </w:num>
  <w:num w:numId="21">
    <w:abstractNumId w:val="8"/>
  </w:num>
  <w:num w:numId="22">
    <w:abstractNumId w:val="10"/>
  </w:num>
  <w:num w:numId="23">
    <w:abstractNumId w:val="35"/>
  </w:num>
  <w:num w:numId="24">
    <w:abstractNumId w:val="28"/>
  </w:num>
  <w:num w:numId="25">
    <w:abstractNumId w:val="5"/>
  </w:num>
  <w:num w:numId="26">
    <w:abstractNumId w:val="7"/>
  </w:num>
  <w:num w:numId="27">
    <w:abstractNumId w:val="27"/>
  </w:num>
  <w:num w:numId="28">
    <w:abstractNumId w:val="23"/>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5"/>
  </w:num>
  <w:num w:numId="31">
    <w:abstractNumId w:val="19"/>
  </w:num>
  <w:num w:numId="32">
    <w:abstractNumId w:val="4"/>
  </w:num>
  <w:num w:numId="33">
    <w:abstractNumId w:val="3"/>
  </w:num>
  <w:num w:numId="34">
    <w:abstractNumId w:val="6"/>
  </w:num>
  <w:num w:numId="35">
    <w:abstractNumId w:val="20"/>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48"/>
    <w:rsid w:val="0001342F"/>
    <w:rsid w:val="0002104A"/>
    <w:rsid w:val="00050B9D"/>
    <w:rsid w:val="00053C05"/>
    <w:rsid w:val="00054DC6"/>
    <w:rsid w:val="00070954"/>
    <w:rsid w:val="00083255"/>
    <w:rsid w:val="00092748"/>
    <w:rsid w:val="000C60CA"/>
    <w:rsid w:val="000D4FB4"/>
    <w:rsid w:val="000E70CC"/>
    <w:rsid w:val="00104701"/>
    <w:rsid w:val="0011084B"/>
    <w:rsid w:val="0011299B"/>
    <w:rsid w:val="00127407"/>
    <w:rsid w:val="00157B9B"/>
    <w:rsid w:val="00162F2E"/>
    <w:rsid w:val="0017643F"/>
    <w:rsid w:val="00181A2B"/>
    <w:rsid w:val="001A356E"/>
    <w:rsid w:val="001B4EF9"/>
    <w:rsid w:val="001B4F82"/>
    <w:rsid w:val="001B7B55"/>
    <w:rsid w:val="001B7B82"/>
    <w:rsid w:val="001C3E65"/>
    <w:rsid w:val="001C4E5E"/>
    <w:rsid w:val="001D0D1B"/>
    <w:rsid w:val="001D5A48"/>
    <w:rsid w:val="001E488C"/>
    <w:rsid w:val="001E535B"/>
    <w:rsid w:val="001F012D"/>
    <w:rsid w:val="001F734F"/>
    <w:rsid w:val="002034B2"/>
    <w:rsid w:val="0020500D"/>
    <w:rsid w:val="00217F5B"/>
    <w:rsid w:val="002261D1"/>
    <w:rsid w:val="002351B2"/>
    <w:rsid w:val="00253AE6"/>
    <w:rsid w:val="00262770"/>
    <w:rsid w:val="00264ECF"/>
    <w:rsid w:val="00266C5D"/>
    <w:rsid w:val="0027354E"/>
    <w:rsid w:val="002A0B53"/>
    <w:rsid w:val="002A369D"/>
    <w:rsid w:val="002B5551"/>
    <w:rsid w:val="002B7C4E"/>
    <w:rsid w:val="002D4F3F"/>
    <w:rsid w:val="002E5D90"/>
    <w:rsid w:val="002E7E3D"/>
    <w:rsid w:val="002F625B"/>
    <w:rsid w:val="00320006"/>
    <w:rsid w:val="0034174F"/>
    <w:rsid w:val="00360617"/>
    <w:rsid w:val="003649DA"/>
    <w:rsid w:val="0036558A"/>
    <w:rsid w:val="003770A5"/>
    <w:rsid w:val="003A0A6A"/>
    <w:rsid w:val="003A73C3"/>
    <w:rsid w:val="003B1A24"/>
    <w:rsid w:val="003B3A30"/>
    <w:rsid w:val="003C424B"/>
    <w:rsid w:val="003D1BDC"/>
    <w:rsid w:val="003E56A2"/>
    <w:rsid w:val="003F54A4"/>
    <w:rsid w:val="00404DAC"/>
    <w:rsid w:val="00421336"/>
    <w:rsid w:val="00450F58"/>
    <w:rsid w:val="00460823"/>
    <w:rsid w:val="004610FF"/>
    <w:rsid w:val="00483B41"/>
    <w:rsid w:val="00486CA4"/>
    <w:rsid w:val="00490FCD"/>
    <w:rsid w:val="004947CE"/>
    <w:rsid w:val="004C20E3"/>
    <w:rsid w:val="004C485A"/>
    <w:rsid w:val="004D2931"/>
    <w:rsid w:val="004E570B"/>
    <w:rsid w:val="004F7D8F"/>
    <w:rsid w:val="005012FC"/>
    <w:rsid w:val="00502972"/>
    <w:rsid w:val="0050394A"/>
    <w:rsid w:val="0051092B"/>
    <w:rsid w:val="00511C9C"/>
    <w:rsid w:val="00517C68"/>
    <w:rsid w:val="00521D97"/>
    <w:rsid w:val="00526F29"/>
    <w:rsid w:val="00530416"/>
    <w:rsid w:val="005452F0"/>
    <w:rsid w:val="00546D2F"/>
    <w:rsid w:val="0055129F"/>
    <w:rsid w:val="00554D2B"/>
    <w:rsid w:val="00573537"/>
    <w:rsid w:val="00583F14"/>
    <w:rsid w:val="005A7E20"/>
    <w:rsid w:val="005D2870"/>
    <w:rsid w:val="005D4A88"/>
    <w:rsid w:val="005E5B59"/>
    <w:rsid w:val="005F595A"/>
    <w:rsid w:val="005F7566"/>
    <w:rsid w:val="006026E4"/>
    <w:rsid w:val="00605872"/>
    <w:rsid w:val="00605D1B"/>
    <w:rsid w:val="006114AF"/>
    <w:rsid w:val="00612A47"/>
    <w:rsid w:val="006159DF"/>
    <w:rsid w:val="00617572"/>
    <w:rsid w:val="00622757"/>
    <w:rsid w:val="006251AF"/>
    <w:rsid w:val="00632B0C"/>
    <w:rsid w:val="00642A6A"/>
    <w:rsid w:val="00646FED"/>
    <w:rsid w:val="006646C8"/>
    <w:rsid w:val="006672E5"/>
    <w:rsid w:val="00681196"/>
    <w:rsid w:val="006852C3"/>
    <w:rsid w:val="006860B7"/>
    <w:rsid w:val="006A5884"/>
    <w:rsid w:val="006B34AE"/>
    <w:rsid w:val="006B6735"/>
    <w:rsid w:val="006D1007"/>
    <w:rsid w:val="006D33D2"/>
    <w:rsid w:val="006E4531"/>
    <w:rsid w:val="006F423C"/>
    <w:rsid w:val="00721533"/>
    <w:rsid w:val="00753C4C"/>
    <w:rsid w:val="007630A1"/>
    <w:rsid w:val="00763B56"/>
    <w:rsid w:val="007661AA"/>
    <w:rsid w:val="00766BA8"/>
    <w:rsid w:val="00775786"/>
    <w:rsid w:val="00792948"/>
    <w:rsid w:val="00795EE7"/>
    <w:rsid w:val="007A29E9"/>
    <w:rsid w:val="007B6B6E"/>
    <w:rsid w:val="007D1FEB"/>
    <w:rsid w:val="007D2DB2"/>
    <w:rsid w:val="007D650B"/>
    <w:rsid w:val="007E0D1E"/>
    <w:rsid w:val="007F7A9F"/>
    <w:rsid w:val="00814801"/>
    <w:rsid w:val="00836814"/>
    <w:rsid w:val="00852F0E"/>
    <w:rsid w:val="008572E6"/>
    <w:rsid w:val="00860837"/>
    <w:rsid w:val="008668C6"/>
    <w:rsid w:val="00867577"/>
    <w:rsid w:val="00874639"/>
    <w:rsid w:val="008871F9"/>
    <w:rsid w:val="00890860"/>
    <w:rsid w:val="008910B0"/>
    <w:rsid w:val="008A4AF4"/>
    <w:rsid w:val="008B3925"/>
    <w:rsid w:val="008C38B9"/>
    <w:rsid w:val="008D5264"/>
    <w:rsid w:val="008E3EE5"/>
    <w:rsid w:val="008F50F9"/>
    <w:rsid w:val="00902F78"/>
    <w:rsid w:val="00903226"/>
    <w:rsid w:val="009147C7"/>
    <w:rsid w:val="00973ED4"/>
    <w:rsid w:val="009766C9"/>
    <w:rsid w:val="009B2D4C"/>
    <w:rsid w:val="009C56C7"/>
    <w:rsid w:val="009C6209"/>
    <w:rsid w:val="00A05FE8"/>
    <w:rsid w:val="00A215CC"/>
    <w:rsid w:val="00A22833"/>
    <w:rsid w:val="00A23637"/>
    <w:rsid w:val="00A66246"/>
    <w:rsid w:val="00A748CD"/>
    <w:rsid w:val="00A77F86"/>
    <w:rsid w:val="00A90749"/>
    <w:rsid w:val="00AA3428"/>
    <w:rsid w:val="00AB101D"/>
    <w:rsid w:val="00AE1D01"/>
    <w:rsid w:val="00AE5141"/>
    <w:rsid w:val="00AE5787"/>
    <w:rsid w:val="00AE597E"/>
    <w:rsid w:val="00AF5E0D"/>
    <w:rsid w:val="00B0448B"/>
    <w:rsid w:val="00B14AD5"/>
    <w:rsid w:val="00B20BC8"/>
    <w:rsid w:val="00B2151A"/>
    <w:rsid w:val="00B2153B"/>
    <w:rsid w:val="00B2372F"/>
    <w:rsid w:val="00B40127"/>
    <w:rsid w:val="00B57E1A"/>
    <w:rsid w:val="00B64726"/>
    <w:rsid w:val="00B66BC8"/>
    <w:rsid w:val="00B94C85"/>
    <w:rsid w:val="00B96FA1"/>
    <w:rsid w:val="00BA134E"/>
    <w:rsid w:val="00BB3C28"/>
    <w:rsid w:val="00BC425C"/>
    <w:rsid w:val="00BF6E0A"/>
    <w:rsid w:val="00C007CB"/>
    <w:rsid w:val="00C04A86"/>
    <w:rsid w:val="00C07FCC"/>
    <w:rsid w:val="00C169E8"/>
    <w:rsid w:val="00C24D78"/>
    <w:rsid w:val="00C257A0"/>
    <w:rsid w:val="00C275A5"/>
    <w:rsid w:val="00C30E4D"/>
    <w:rsid w:val="00C3260C"/>
    <w:rsid w:val="00C345A2"/>
    <w:rsid w:val="00C40380"/>
    <w:rsid w:val="00C42081"/>
    <w:rsid w:val="00C65207"/>
    <w:rsid w:val="00C80C2D"/>
    <w:rsid w:val="00C944D6"/>
    <w:rsid w:val="00C961D4"/>
    <w:rsid w:val="00CA5F99"/>
    <w:rsid w:val="00CA7A49"/>
    <w:rsid w:val="00CB47B2"/>
    <w:rsid w:val="00CC1A0C"/>
    <w:rsid w:val="00CC3E8A"/>
    <w:rsid w:val="00CC68D9"/>
    <w:rsid w:val="00CD1561"/>
    <w:rsid w:val="00CD639A"/>
    <w:rsid w:val="00CE69F4"/>
    <w:rsid w:val="00CF0476"/>
    <w:rsid w:val="00CF13C1"/>
    <w:rsid w:val="00CF7C2C"/>
    <w:rsid w:val="00D06BB7"/>
    <w:rsid w:val="00D11999"/>
    <w:rsid w:val="00D11C2F"/>
    <w:rsid w:val="00D1408A"/>
    <w:rsid w:val="00D20332"/>
    <w:rsid w:val="00D22CD2"/>
    <w:rsid w:val="00D2703C"/>
    <w:rsid w:val="00D43D73"/>
    <w:rsid w:val="00D45BDF"/>
    <w:rsid w:val="00D62A3E"/>
    <w:rsid w:val="00D66CDF"/>
    <w:rsid w:val="00D672D7"/>
    <w:rsid w:val="00D8137F"/>
    <w:rsid w:val="00D87125"/>
    <w:rsid w:val="00DA1321"/>
    <w:rsid w:val="00DB73F3"/>
    <w:rsid w:val="00DD3F2D"/>
    <w:rsid w:val="00DE6A9A"/>
    <w:rsid w:val="00DE7BA6"/>
    <w:rsid w:val="00E12EAD"/>
    <w:rsid w:val="00E13841"/>
    <w:rsid w:val="00E15413"/>
    <w:rsid w:val="00E24E61"/>
    <w:rsid w:val="00E259BF"/>
    <w:rsid w:val="00E34F07"/>
    <w:rsid w:val="00E43063"/>
    <w:rsid w:val="00E44846"/>
    <w:rsid w:val="00E5236C"/>
    <w:rsid w:val="00E53C6E"/>
    <w:rsid w:val="00E567C4"/>
    <w:rsid w:val="00E713E7"/>
    <w:rsid w:val="00E748DD"/>
    <w:rsid w:val="00E75A51"/>
    <w:rsid w:val="00E86EE0"/>
    <w:rsid w:val="00EA282F"/>
    <w:rsid w:val="00EC29E8"/>
    <w:rsid w:val="00EC5763"/>
    <w:rsid w:val="00ED5AD2"/>
    <w:rsid w:val="00ED70B0"/>
    <w:rsid w:val="00EE6BCE"/>
    <w:rsid w:val="00EF03DD"/>
    <w:rsid w:val="00EF52D8"/>
    <w:rsid w:val="00F00CAD"/>
    <w:rsid w:val="00F0442D"/>
    <w:rsid w:val="00F167C2"/>
    <w:rsid w:val="00F22A5F"/>
    <w:rsid w:val="00F31844"/>
    <w:rsid w:val="00F340E5"/>
    <w:rsid w:val="00F34FB3"/>
    <w:rsid w:val="00F35105"/>
    <w:rsid w:val="00F4533F"/>
    <w:rsid w:val="00F46A40"/>
    <w:rsid w:val="00F5425A"/>
    <w:rsid w:val="00F55E6F"/>
    <w:rsid w:val="00F87DD8"/>
    <w:rsid w:val="00FB6069"/>
    <w:rsid w:val="00FC0F23"/>
    <w:rsid w:val="00FD11C2"/>
    <w:rsid w:val="00FD36B7"/>
    <w:rsid w:val="00FE026D"/>
    <w:rsid w:val="00FE62DD"/>
    <w:rsid w:val="00FE7694"/>
    <w:rsid w:val="00FF18F3"/>
    <w:rsid w:val="00FF291F"/>
    <w:rsid w:val="00FF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2374"/>
  <w15:chartTrackingRefBased/>
  <w15:docId w15:val="{8E75F634-BE38-4BD8-82AD-6C008CF9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48"/>
    <w:pPr>
      <w:suppressAutoHyphens/>
      <w:autoSpaceDN w:val="0"/>
      <w:spacing w:line="254" w:lineRule="auto"/>
    </w:pPr>
    <w:rPr>
      <w:rFonts w:ascii="Calibri" w:eastAsia="Calibri" w:hAnsi="Calibri" w:cs="Times New Roman"/>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59"/>
    <w:rsid w:val="00AF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yfeirnodSylw">
    <w:name w:val="annotation reference"/>
    <w:basedOn w:val="FfontParagraffDdiofyn"/>
    <w:uiPriority w:val="99"/>
    <w:semiHidden/>
    <w:unhideWhenUsed/>
    <w:rsid w:val="00AF5E0D"/>
    <w:rPr>
      <w:sz w:val="16"/>
      <w:szCs w:val="16"/>
    </w:rPr>
  </w:style>
  <w:style w:type="paragraph" w:styleId="TestunSylw">
    <w:name w:val="annotation text"/>
    <w:basedOn w:val="Normal"/>
    <w:link w:val="TestunSylwNod"/>
    <w:uiPriority w:val="99"/>
    <w:semiHidden/>
    <w:unhideWhenUsed/>
    <w:rsid w:val="00AF5E0D"/>
    <w:pPr>
      <w:suppressAutoHyphens w:val="0"/>
      <w:autoSpaceDN/>
      <w:spacing w:line="240" w:lineRule="auto"/>
    </w:pPr>
    <w:rPr>
      <w:rFonts w:ascii="Arial" w:eastAsiaTheme="minorHAnsi" w:hAnsi="Arial" w:cstheme="minorBidi"/>
      <w:sz w:val="20"/>
      <w:szCs w:val="20"/>
    </w:rPr>
  </w:style>
  <w:style w:type="character" w:customStyle="1" w:styleId="TestunSylwNod">
    <w:name w:val="Testun Sylw Nod"/>
    <w:basedOn w:val="FfontParagraffDdiofyn"/>
    <w:link w:val="TestunSylw"/>
    <w:uiPriority w:val="99"/>
    <w:semiHidden/>
    <w:rsid w:val="00AF5E0D"/>
    <w:rPr>
      <w:rFonts w:ascii="Arial" w:hAnsi="Arial"/>
      <w:sz w:val="20"/>
      <w:szCs w:val="20"/>
    </w:rPr>
  </w:style>
  <w:style w:type="paragraph" w:styleId="TestunmewnSwigen">
    <w:name w:val="Balloon Text"/>
    <w:basedOn w:val="Normal"/>
    <w:link w:val="TestunmewnSwigenNod"/>
    <w:uiPriority w:val="99"/>
    <w:semiHidden/>
    <w:unhideWhenUsed/>
    <w:rsid w:val="00AF5E0D"/>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AF5E0D"/>
    <w:rPr>
      <w:rFonts w:ascii="Segoe UI" w:eastAsia="Calibri" w:hAnsi="Segoe UI" w:cs="Segoe UI"/>
      <w:sz w:val="18"/>
      <w:szCs w:val="18"/>
    </w:rPr>
  </w:style>
  <w:style w:type="paragraph" w:styleId="Pennyn">
    <w:name w:val="header"/>
    <w:basedOn w:val="Normal"/>
    <w:link w:val="PennynNod"/>
    <w:uiPriority w:val="99"/>
    <w:unhideWhenUsed/>
    <w:rsid w:val="00AF5E0D"/>
    <w:pPr>
      <w:tabs>
        <w:tab w:val="center" w:pos="4513"/>
        <w:tab w:val="right" w:pos="9026"/>
      </w:tabs>
      <w:spacing w:after="0" w:line="240" w:lineRule="auto"/>
    </w:pPr>
  </w:style>
  <w:style w:type="character" w:customStyle="1" w:styleId="PennynNod">
    <w:name w:val="Pennyn Nod"/>
    <w:basedOn w:val="FfontParagraffDdiofyn"/>
    <w:link w:val="Pennyn"/>
    <w:uiPriority w:val="99"/>
    <w:rsid w:val="00AF5E0D"/>
    <w:rPr>
      <w:rFonts w:ascii="Calibri" w:eastAsia="Calibri" w:hAnsi="Calibri" w:cs="Times New Roman"/>
    </w:rPr>
  </w:style>
  <w:style w:type="paragraph" w:styleId="Troedyn">
    <w:name w:val="footer"/>
    <w:basedOn w:val="Normal"/>
    <w:link w:val="TroedynNod"/>
    <w:unhideWhenUsed/>
    <w:rsid w:val="00AF5E0D"/>
    <w:pPr>
      <w:tabs>
        <w:tab w:val="center" w:pos="4513"/>
        <w:tab w:val="right" w:pos="9026"/>
      </w:tabs>
      <w:spacing w:after="0" w:line="240" w:lineRule="auto"/>
    </w:pPr>
  </w:style>
  <w:style w:type="character" w:customStyle="1" w:styleId="TroedynNod">
    <w:name w:val="Troedyn Nod"/>
    <w:basedOn w:val="FfontParagraffDdiofyn"/>
    <w:link w:val="Troedyn"/>
    <w:rsid w:val="00AF5E0D"/>
    <w:rPr>
      <w:rFonts w:ascii="Calibri" w:eastAsia="Calibri" w:hAnsi="Calibri" w:cs="Times New Roman"/>
    </w:rPr>
  </w:style>
  <w:style w:type="paragraph" w:styleId="TestunTroednodyn">
    <w:name w:val="footnote text"/>
    <w:basedOn w:val="Normal"/>
    <w:link w:val="TestunTroednodynNod"/>
    <w:uiPriority w:val="99"/>
    <w:unhideWhenUsed/>
    <w:rsid w:val="00A05FE8"/>
    <w:pPr>
      <w:suppressAutoHyphens w:val="0"/>
      <w:autoSpaceDN/>
      <w:spacing w:after="0" w:line="240" w:lineRule="auto"/>
    </w:pPr>
    <w:rPr>
      <w:rFonts w:ascii="Arial" w:eastAsiaTheme="minorHAnsi" w:hAnsi="Arial" w:cstheme="minorBidi"/>
      <w:sz w:val="20"/>
      <w:szCs w:val="20"/>
    </w:rPr>
  </w:style>
  <w:style w:type="character" w:customStyle="1" w:styleId="TestunTroednodynNod">
    <w:name w:val="Testun Troednodyn Nod"/>
    <w:basedOn w:val="FfontParagraffDdiofyn"/>
    <w:link w:val="TestunTroednodyn"/>
    <w:uiPriority w:val="99"/>
    <w:rsid w:val="00A05FE8"/>
    <w:rPr>
      <w:rFonts w:ascii="Arial" w:hAnsi="Arial"/>
      <w:sz w:val="20"/>
      <w:szCs w:val="20"/>
    </w:rPr>
  </w:style>
  <w:style w:type="character" w:styleId="CyfeirnodTroednodyn">
    <w:name w:val="footnote reference"/>
    <w:basedOn w:val="FfontParagraffDdiofyn"/>
    <w:uiPriority w:val="99"/>
    <w:unhideWhenUsed/>
    <w:rsid w:val="00A05FE8"/>
    <w:rPr>
      <w:vertAlign w:val="superscript"/>
    </w:rPr>
  </w:style>
  <w:style w:type="character" w:styleId="Hyperddolen">
    <w:name w:val="Hyperlink"/>
    <w:basedOn w:val="FfontParagraffDdiofyn"/>
    <w:uiPriority w:val="99"/>
    <w:unhideWhenUsed/>
    <w:rsid w:val="00A05FE8"/>
    <w:rPr>
      <w:color w:val="0563C1" w:themeColor="hyperlink"/>
      <w:u w:val="single"/>
    </w:rPr>
  </w:style>
  <w:style w:type="paragraph" w:styleId="PwncSylw">
    <w:name w:val="annotation subject"/>
    <w:basedOn w:val="TestunSylw"/>
    <w:next w:val="TestunSylw"/>
    <w:link w:val="PwncSylwNod"/>
    <w:uiPriority w:val="99"/>
    <w:semiHidden/>
    <w:unhideWhenUsed/>
    <w:rsid w:val="00CF13C1"/>
    <w:pPr>
      <w:suppressAutoHyphens/>
      <w:autoSpaceDN w:val="0"/>
    </w:pPr>
    <w:rPr>
      <w:rFonts w:ascii="Calibri" w:eastAsia="Calibri" w:hAnsi="Calibri" w:cs="Times New Roman"/>
      <w:b/>
      <w:bCs/>
    </w:rPr>
  </w:style>
  <w:style w:type="character" w:customStyle="1" w:styleId="PwncSylwNod">
    <w:name w:val="Pwnc Sylw Nod"/>
    <w:basedOn w:val="TestunSylwNod"/>
    <w:link w:val="PwncSylw"/>
    <w:uiPriority w:val="99"/>
    <w:semiHidden/>
    <w:rsid w:val="00CF13C1"/>
    <w:rPr>
      <w:rFonts w:ascii="Calibri" w:eastAsia="Calibri" w:hAnsi="Calibri" w:cs="Times New Roman"/>
      <w:b/>
      <w:bCs/>
      <w:sz w:val="20"/>
      <w:szCs w:val="20"/>
    </w:rPr>
  </w:style>
  <w:style w:type="paragraph" w:styleId="ParagraffRhestr">
    <w:name w:val="List Paragraph"/>
    <w:aliases w:val="Dot pt,F5 List Paragraph,List Paragraph1,Numbered Para 1,No Spacing1,List Paragraph Char Char Char,Indicator Text,Bullet Points,MAIN CONTENT,Bullet 1,List Paragraph12,Bullet Style,Normal numbered,Colorful List - Accent 11"/>
    <w:basedOn w:val="Normal"/>
    <w:link w:val="ParagraffRhestrNod"/>
    <w:uiPriority w:val="34"/>
    <w:qFormat/>
    <w:rsid w:val="00622757"/>
    <w:pPr>
      <w:suppressAutoHyphens w:val="0"/>
      <w:autoSpaceDN/>
      <w:spacing w:after="0" w:line="240" w:lineRule="auto"/>
      <w:ind w:left="720"/>
      <w:contextualSpacing/>
    </w:pPr>
    <w:rPr>
      <w:rFonts w:ascii="Arial" w:eastAsiaTheme="minorHAnsi" w:hAnsi="Arial" w:cs="Arial"/>
      <w:sz w:val="24"/>
      <w:szCs w:val="24"/>
    </w:rPr>
  </w:style>
  <w:style w:type="character" w:customStyle="1" w:styleId="ParagraffRhestrNod">
    <w:name w:val="Paragraff Rhestr Nod"/>
    <w:aliases w:val="Dot pt Nod,F5 List Paragraph Nod,List Paragraph1 Nod,Numbered Para 1 Nod,No Spacing1 Nod,List Paragraph Char Char Char Nod,Indicator Text Nod,Bullet Points Nod,MAIN CONTENT Nod,Bullet 1 Nod,List Paragraph12 Nod,Bullet Style Nod"/>
    <w:basedOn w:val="FfontParagraffDdiofyn"/>
    <w:link w:val="ParagraffRhestr"/>
    <w:uiPriority w:val="34"/>
    <w:qFormat/>
    <w:locked/>
    <w:rsid w:val="00622757"/>
    <w:rPr>
      <w:rFonts w:ascii="Arial" w:hAnsi="Arial" w:cs="Arial"/>
      <w:sz w:val="24"/>
      <w:szCs w:val="24"/>
    </w:rPr>
  </w:style>
  <w:style w:type="character" w:styleId="HyperddolenWediiDilyn">
    <w:name w:val="FollowedHyperlink"/>
    <w:basedOn w:val="FfontParagraffDdiofyn"/>
    <w:uiPriority w:val="99"/>
    <w:semiHidden/>
    <w:unhideWhenUsed/>
    <w:rsid w:val="00526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08931">
      <w:bodyDiv w:val="1"/>
      <w:marLeft w:val="0"/>
      <w:marRight w:val="0"/>
      <w:marTop w:val="0"/>
      <w:marBottom w:val="0"/>
      <w:divBdr>
        <w:top w:val="none" w:sz="0" w:space="0" w:color="auto"/>
        <w:left w:val="none" w:sz="0" w:space="0" w:color="auto"/>
        <w:bottom w:val="none" w:sz="0" w:space="0" w:color="auto"/>
        <w:right w:val="none" w:sz="0" w:space="0" w:color="auto"/>
      </w:divBdr>
    </w:div>
    <w:div w:id="313145754">
      <w:bodyDiv w:val="1"/>
      <w:marLeft w:val="0"/>
      <w:marRight w:val="0"/>
      <w:marTop w:val="0"/>
      <w:marBottom w:val="0"/>
      <w:divBdr>
        <w:top w:val="none" w:sz="0" w:space="0" w:color="auto"/>
        <w:left w:val="none" w:sz="0" w:space="0" w:color="auto"/>
        <w:bottom w:val="none" w:sz="0" w:space="0" w:color="auto"/>
        <w:right w:val="none" w:sz="0" w:space="0" w:color="auto"/>
      </w:divBdr>
    </w:div>
    <w:div w:id="390150839">
      <w:bodyDiv w:val="1"/>
      <w:marLeft w:val="0"/>
      <w:marRight w:val="0"/>
      <w:marTop w:val="0"/>
      <w:marBottom w:val="0"/>
      <w:divBdr>
        <w:top w:val="none" w:sz="0" w:space="0" w:color="auto"/>
        <w:left w:val="none" w:sz="0" w:space="0" w:color="auto"/>
        <w:bottom w:val="none" w:sz="0" w:space="0" w:color="auto"/>
        <w:right w:val="none" w:sz="0" w:space="0" w:color="auto"/>
      </w:divBdr>
    </w:div>
    <w:div w:id="405615409">
      <w:bodyDiv w:val="1"/>
      <w:marLeft w:val="0"/>
      <w:marRight w:val="0"/>
      <w:marTop w:val="0"/>
      <w:marBottom w:val="0"/>
      <w:divBdr>
        <w:top w:val="none" w:sz="0" w:space="0" w:color="auto"/>
        <w:left w:val="none" w:sz="0" w:space="0" w:color="auto"/>
        <w:bottom w:val="none" w:sz="0" w:space="0" w:color="auto"/>
        <w:right w:val="none" w:sz="0" w:space="0" w:color="auto"/>
      </w:divBdr>
    </w:div>
    <w:div w:id="470443797">
      <w:bodyDiv w:val="1"/>
      <w:marLeft w:val="0"/>
      <w:marRight w:val="0"/>
      <w:marTop w:val="0"/>
      <w:marBottom w:val="0"/>
      <w:divBdr>
        <w:top w:val="none" w:sz="0" w:space="0" w:color="auto"/>
        <w:left w:val="none" w:sz="0" w:space="0" w:color="auto"/>
        <w:bottom w:val="none" w:sz="0" w:space="0" w:color="auto"/>
        <w:right w:val="none" w:sz="0" w:space="0" w:color="auto"/>
      </w:divBdr>
    </w:div>
    <w:div w:id="621570041">
      <w:bodyDiv w:val="1"/>
      <w:marLeft w:val="0"/>
      <w:marRight w:val="0"/>
      <w:marTop w:val="0"/>
      <w:marBottom w:val="0"/>
      <w:divBdr>
        <w:top w:val="none" w:sz="0" w:space="0" w:color="auto"/>
        <w:left w:val="none" w:sz="0" w:space="0" w:color="auto"/>
        <w:bottom w:val="none" w:sz="0" w:space="0" w:color="auto"/>
        <w:right w:val="none" w:sz="0" w:space="0" w:color="auto"/>
      </w:divBdr>
    </w:div>
    <w:div w:id="986935898">
      <w:bodyDiv w:val="1"/>
      <w:marLeft w:val="0"/>
      <w:marRight w:val="0"/>
      <w:marTop w:val="0"/>
      <w:marBottom w:val="0"/>
      <w:divBdr>
        <w:top w:val="none" w:sz="0" w:space="0" w:color="auto"/>
        <w:left w:val="none" w:sz="0" w:space="0" w:color="auto"/>
        <w:bottom w:val="none" w:sz="0" w:space="0" w:color="auto"/>
        <w:right w:val="none" w:sz="0" w:space="0" w:color="auto"/>
      </w:divBdr>
    </w:div>
    <w:div w:id="1037005542">
      <w:bodyDiv w:val="1"/>
      <w:marLeft w:val="0"/>
      <w:marRight w:val="0"/>
      <w:marTop w:val="0"/>
      <w:marBottom w:val="0"/>
      <w:divBdr>
        <w:top w:val="none" w:sz="0" w:space="0" w:color="auto"/>
        <w:left w:val="none" w:sz="0" w:space="0" w:color="auto"/>
        <w:bottom w:val="none" w:sz="0" w:space="0" w:color="auto"/>
        <w:right w:val="none" w:sz="0" w:space="0" w:color="auto"/>
      </w:divBdr>
    </w:div>
    <w:div w:id="1205020963">
      <w:bodyDiv w:val="1"/>
      <w:marLeft w:val="0"/>
      <w:marRight w:val="0"/>
      <w:marTop w:val="0"/>
      <w:marBottom w:val="0"/>
      <w:divBdr>
        <w:top w:val="none" w:sz="0" w:space="0" w:color="auto"/>
        <w:left w:val="none" w:sz="0" w:space="0" w:color="auto"/>
        <w:bottom w:val="none" w:sz="0" w:space="0" w:color="auto"/>
        <w:right w:val="none" w:sz="0" w:space="0" w:color="auto"/>
      </w:divBdr>
    </w:div>
    <w:div w:id="1209877888">
      <w:bodyDiv w:val="1"/>
      <w:marLeft w:val="0"/>
      <w:marRight w:val="0"/>
      <w:marTop w:val="0"/>
      <w:marBottom w:val="0"/>
      <w:divBdr>
        <w:top w:val="none" w:sz="0" w:space="0" w:color="auto"/>
        <w:left w:val="none" w:sz="0" w:space="0" w:color="auto"/>
        <w:bottom w:val="none" w:sz="0" w:space="0" w:color="auto"/>
        <w:right w:val="none" w:sz="0" w:space="0" w:color="auto"/>
      </w:divBdr>
    </w:div>
    <w:div w:id="1311906766">
      <w:bodyDiv w:val="1"/>
      <w:marLeft w:val="0"/>
      <w:marRight w:val="0"/>
      <w:marTop w:val="0"/>
      <w:marBottom w:val="0"/>
      <w:divBdr>
        <w:top w:val="none" w:sz="0" w:space="0" w:color="auto"/>
        <w:left w:val="none" w:sz="0" w:space="0" w:color="auto"/>
        <w:bottom w:val="none" w:sz="0" w:space="0" w:color="auto"/>
        <w:right w:val="none" w:sz="0" w:space="0" w:color="auto"/>
      </w:divBdr>
    </w:div>
    <w:div w:id="1339574544">
      <w:bodyDiv w:val="1"/>
      <w:marLeft w:val="0"/>
      <w:marRight w:val="0"/>
      <w:marTop w:val="0"/>
      <w:marBottom w:val="0"/>
      <w:divBdr>
        <w:top w:val="none" w:sz="0" w:space="0" w:color="auto"/>
        <w:left w:val="none" w:sz="0" w:space="0" w:color="auto"/>
        <w:bottom w:val="none" w:sz="0" w:space="0" w:color="auto"/>
        <w:right w:val="none" w:sz="0" w:space="0" w:color="auto"/>
      </w:divBdr>
    </w:div>
    <w:div w:id="1460294641">
      <w:bodyDiv w:val="1"/>
      <w:marLeft w:val="0"/>
      <w:marRight w:val="0"/>
      <w:marTop w:val="0"/>
      <w:marBottom w:val="0"/>
      <w:divBdr>
        <w:top w:val="none" w:sz="0" w:space="0" w:color="auto"/>
        <w:left w:val="none" w:sz="0" w:space="0" w:color="auto"/>
        <w:bottom w:val="none" w:sz="0" w:space="0" w:color="auto"/>
        <w:right w:val="none" w:sz="0" w:space="0" w:color="auto"/>
      </w:divBdr>
    </w:div>
    <w:div w:id="1718894113">
      <w:bodyDiv w:val="1"/>
      <w:marLeft w:val="0"/>
      <w:marRight w:val="0"/>
      <w:marTop w:val="0"/>
      <w:marBottom w:val="0"/>
      <w:divBdr>
        <w:top w:val="none" w:sz="0" w:space="0" w:color="auto"/>
        <w:left w:val="none" w:sz="0" w:space="0" w:color="auto"/>
        <w:bottom w:val="none" w:sz="0" w:space="0" w:color="auto"/>
        <w:right w:val="none" w:sz="0" w:space="0" w:color="auto"/>
      </w:divBdr>
    </w:div>
    <w:div w:id="1792236565">
      <w:bodyDiv w:val="1"/>
      <w:marLeft w:val="0"/>
      <w:marRight w:val="0"/>
      <w:marTop w:val="0"/>
      <w:marBottom w:val="0"/>
      <w:divBdr>
        <w:top w:val="none" w:sz="0" w:space="0" w:color="auto"/>
        <w:left w:val="none" w:sz="0" w:space="0" w:color="auto"/>
        <w:bottom w:val="none" w:sz="0" w:space="0" w:color="auto"/>
        <w:right w:val="none" w:sz="0" w:space="0" w:color="auto"/>
      </w:divBdr>
    </w:div>
    <w:div w:id="21332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ldcomwales.org.uk/wp-content/uploads/2020/06/FINAL_formattedCVRep_E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coronavirus-legislation-and-guidance-la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ediatrics.aappublications.org/content/119/1/182" TargetMode="External"/><Relationship Id="rId2" Type="http://schemas.openxmlformats.org/officeDocument/2006/relationships/hyperlink" Target="https://www.researchgate.net/publication/281283103_Preventing_childhood_obesity_BMA_June_2005" TargetMode="External"/><Relationship Id="rId1" Type="http://schemas.openxmlformats.org/officeDocument/2006/relationships/hyperlink" Target="https://pediatrics.aappublications.org/content/119/1/182" TargetMode="External"/><Relationship Id="rId4" Type="http://schemas.openxmlformats.org/officeDocument/2006/relationships/hyperlink" Target="https://www.researchgate.net/publication/281283103_Preventing_childhood_obesity_BMA_June_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A30930256</value>
    </field>
    <field name="Objective-Title">
      <value order="0">MA-FM-2533-20 - DOC 3  Summary EIA</value>
    </field>
    <field name="Objective-Description">
      <value order="0"/>
    </field>
    <field name="Objective-CreationStamp">
      <value order="0">2020-07-07T18:19:12Z</value>
    </field>
    <field name="Objective-IsApproved">
      <value order="0">false</value>
    </field>
    <field name="Objective-IsPublished">
      <value order="0">false</value>
    </field>
    <field name="Objective-DatePublished">
      <value order="0"/>
    </field>
    <field name="Objective-ModificationStamp">
      <value order="0">2020-08-14T13:41:28Z</value>
    </field>
    <field name="Objective-Owner">
      <value order="0">Taylor, Tom (ESNR - Rural Economy &amp; Legislation)</value>
    </field>
    <field name="Objective-Path">
      <value order="0">Objective Global Folder:Business File Plan:Permanent Secretary's Group (PSG):Permanent Secretary's Group (PSG) - Permanent Secretary's Group:1 - Save:Project Team - Covid-19:Project Team - Sharing Area:COVID-19 - 2020-2021 - Lockdown Review (Sharing):COVID-19 - 2020-2021 - Lockdown Review (Sharing):COVID 19 - 2020-2021 Review of Coronavirus Regulation 2020 8 7 [interim review]</value>
    </field>
    <field name="Objective-Parent">
      <value order="0">COVID 19 - 2020-2021 Review of Coronavirus Regulation 2020 8 7 [interim review]</value>
    </field>
    <field name="Objective-State">
      <value order="0">Being Edited</value>
    </field>
    <field name="Objective-VersionId">
      <value order="0">vA61874035</value>
    </field>
    <field name="Objective-Version">
      <value order="0">4.1</value>
    </field>
    <field name="Objective-VersionNumber">
      <value order="0">5</value>
    </field>
    <field name="Objective-VersionComment">
      <value order="0"/>
    </field>
    <field name="Objective-FileNumber">
      <value order="0">qA1427543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2020-07-06T23:00:00Z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A215F170211E434C93A736543666F688" ma:contentTypeVersion="12" ma:contentTypeDescription="Create a new document." ma:contentTypeScope="" ma:versionID="e887b45e1a917d44e7482daac3916150">
  <xsd:schema xmlns:xsd="http://www.w3.org/2001/XMLSchema" xmlns:xs="http://www.w3.org/2001/XMLSchema" xmlns:p="http://schemas.microsoft.com/office/2006/metadata/properties" xmlns:ns3="52b571ab-1c57-44cd-b9db-d3085f02c05b" xmlns:ns4="93627077-9d01-42b4-ad42-6a7ecd11ea2e" targetNamespace="http://schemas.microsoft.com/office/2006/metadata/properties" ma:root="true" ma:fieldsID="037aa4c3f1d55be0fbc018d4e28a3c53" ns3:_="" ns4:_="">
    <xsd:import namespace="52b571ab-1c57-44cd-b9db-d3085f02c05b"/>
    <xsd:import namespace="93627077-9d01-42b4-ad42-6a7ecd11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571ab-1c57-44cd-b9db-d3085f02c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27077-9d01-42b4-ad42-6a7ecd11ea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A3EE78A-C018-45BF-96FA-040213AF0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571ab-1c57-44cd-b9db-d3085f02c05b"/>
    <ds:schemaRef ds:uri="93627077-9d01-42b4-ad42-6a7ecd11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1232F-D462-4B54-BB12-BC91EE005645}">
  <ds:schemaRefs>
    <ds:schemaRef ds:uri="http://schemas.microsoft.com/sharepoint/v3/contenttype/forms"/>
  </ds:schemaRefs>
</ds:datastoreItem>
</file>

<file path=customXml/itemProps4.xml><?xml version="1.0" encoding="utf-8"?>
<ds:datastoreItem xmlns:ds="http://schemas.openxmlformats.org/officeDocument/2006/customXml" ds:itemID="{062BDA97-B630-4752-8130-6216E9E0A2E1}">
  <ds:schemaRefs>
    <ds:schemaRef ds:uri="http://purl.org/dc/elements/1.1/"/>
    <ds:schemaRef ds:uri="http://schemas.microsoft.com/office/2006/metadata/properties"/>
    <ds:schemaRef ds:uri="http://schemas.microsoft.com/office/2006/documentManagement/types"/>
    <ds:schemaRef ds:uri="52b571ab-1c57-44cd-b9db-d3085f02c05b"/>
    <ds:schemaRef ds:uri="http://purl.org/dc/terms/"/>
    <ds:schemaRef ds:uri="http://schemas.openxmlformats.org/package/2006/metadata/core-properties"/>
    <ds:schemaRef ds:uri="http://purl.org/dc/dcmitype/"/>
    <ds:schemaRef ds:uri="http://schemas.microsoft.com/office/infopath/2007/PartnerControls"/>
    <ds:schemaRef ds:uri="93627077-9d01-42b4-ad42-6a7ecd11ea2e"/>
    <ds:schemaRef ds:uri="http://www.w3.org/XML/1998/namespace"/>
  </ds:schemaRefs>
</ds:datastoreItem>
</file>

<file path=customXml/itemProps5.xml><?xml version="1.0" encoding="utf-8"?>
<ds:datastoreItem xmlns:ds="http://schemas.openxmlformats.org/officeDocument/2006/customXml" ds:itemID="{34820868-8640-48D3-986A-0F7CDFE2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3749</Words>
  <Characters>21371</Characters>
  <Application>Microsoft Office Word</Application>
  <DocSecurity>0</DocSecurity>
  <Lines>178</Lines>
  <Paragraphs>50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Welsh Government</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Repa (Project Team - C-19)</dc:creator>
  <cp:keywords/>
  <dc:description/>
  <cp:lastModifiedBy>Wyn, Sioned (OFM - Communications)</cp:lastModifiedBy>
  <cp:revision>2</cp:revision>
  <dcterms:created xsi:type="dcterms:W3CDTF">2020-08-14T13:52:00Z</dcterms:created>
  <dcterms:modified xsi:type="dcterms:W3CDTF">2020-08-14T13:52:00Z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A30930256</vt:lpwstr>
  </property>
  <property fmtid="{D5CDD505-2E9C-101B-9397-08002B2CF9AE}" pid="4" name="Objective-Title">
    <vt:lpwstr>MA-FM-2533-20 - DOC 3  Summary EIA</vt:lpwstr>
  </property>
  <property fmtid="{D5CDD505-2E9C-101B-9397-08002B2CF9AE}" pid="5" name="Objective-Description">
    <vt:lpwstr/>
  </property>
  <property fmtid="{D5CDD505-2E9C-101B-9397-08002B2CF9AE}" pid="6" name="Objective-CreationStamp">
    <vt:filetime>2020-08-03T13:51:25Z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2020-08-14T13:41:28Z</vt:filetime>
  </property>
  <property fmtid="{D5CDD505-2E9C-101B-9397-08002B2CF9AE}" pid="11" name="Objective-Owner">
    <vt:lpwstr>Taylor, Tom (ESNR - Rural Economy &amp; Legislation)</vt:lpwstr>
  </property>
  <property fmtid="{D5CDD505-2E9C-101B-9397-08002B2CF9AE}" pid="12" name="Objective-Path">
    <vt:lpwstr>Objective Global Folder:Business File Plan:Permanent Secretary's Group (PSG):Permanent Secretary's Group (PSG) - Permanent Secretary's Group:1 - Save:Project Team - Covid-19:Project Team - Sharing Area:COVID-19 - 2020-2021 - Lockdown Review (Sharing):COVI</vt:lpwstr>
  </property>
  <property fmtid="{D5CDD505-2E9C-101B-9397-08002B2CF9AE}" pid="13" name="Objective-Parent">
    <vt:lpwstr>COVID 19 - 2020-2021 Review of Coronavirus Regulation 2020 8 7 [interim review]</vt:lpwstr>
  </property>
  <property fmtid="{D5CDD505-2E9C-101B-9397-08002B2CF9AE}" pid="14" name="Objective-State">
    <vt:lpwstr>Being Edited</vt:lpwstr>
  </property>
  <property fmtid="{D5CDD505-2E9C-101B-9397-08002B2CF9AE}" pid="15" name="Objective-VersionId">
    <vt:lpwstr>vA61874035</vt:lpwstr>
  </property>
  <property fmtid="{D5CDD505-2E9C-101B-9397-08002B2CF9AE}" pid="16" name="Objective-Version">
    <vt:lpwstr>4.1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qA1427543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2020-07-06T23:00:00Z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0x010100A215F170211E434C93A736543666F688</vt:lpwstr>
  </property>
</Properties>
</file>