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9958df6f15644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B0" w:rsidRPr="00C5066F" w:rsidRDefault="00DD3CB0" w:rsidP="00DD3CB0">
      <w:pPr>
        <w:pStyle w:val="Heading1"/>
      </w:pPr>
      <w:bookmarkStart w:id="0" w:name="_Toc500168074"/>
      <w:r w:rsidRPr="00C5066F">
        <w:t xml:space="preserve">Annex </w:t>
      </w:r>
      <w:r>
        <w:t>5</w:t>
      </w:r>
      <w:r w:rsidRPr="00C5066F">
        <w:t xml:space="preserve">: Outline </w:t>
      </w:r>
      <w:r>
        <w:t>b</w:t>
      </w:r>
      <w:r w:rsidRPr="00C5066F">
        <w:t xml:space="preserve">usiness </w:t>
      </w:r>
      <w:r>
        <w:t>c</w:t>
      </w:r>
      <w:r w:rsidRPr="00C5066F">
        <w:t>ase (OBC) template</w:t>
      </w:r>
      <w:bookmarkEnd w:id="0"/>
    </w:p>
    <w:p w:rsidR="00DD3CB0" w:rsidRPr="00C5066F" w:rsidRDefault="00DD3CB0" w:rsidP="00DD3CB0">
      <w:pPr>
        <w:ind w:right="-1"/>
        <w:rPr>
          <w:b/>
          <w:sz w:val="28"/>
          <w:szCs w:val="28"/>
        </w:rPr>
      </w:pPr>
      <w:r w:rsidRPr="00C5066F">
        <w:rPr>
          <w:b/>
          <w:sz w:val="28"/>
          <w:szCs w:val="28"/>
        </w:rPr>
        <w:t>Executive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DD3CB0" w:rsidRPr="00C5066F" w:rsidTr="00876A37">
        <w:trPr>
          <w:trHeight w:val="2260"/>
        </w:trPr>
        <w:tc>
          <w:tcPr>
            <w:tcW w:w="9498" w:type="dxa"/>
            <w:shd w:val="clear" w:color="auto" w:fill="auto"/>
          </w:tcPr>
          <w:p w:rsidR="00DD3CB0" w:rsidRPr="00C5066F" w:rsidRDefault="00DD3CB0" w:rsidP="00876A37">
            <w:pPr>
              <w:ind w:right="-1"/>
              <w:rPr>
                <w:b/>
              </w:rPr>
            </w:pPr>
            <w:r w:rsidRPr="00C5066F">
              <w:rPr>
                <w:b/>
              </w:rPr>
              <w:t>1500 Words Maximum</w:t>
            </w:r>
          </w:p>
          <w:p w:rsidR="00DD3CB0" w:rsidRPr="00C5066F" w:rsidRDefault="00DD3CB0" w:rsidP="00876A37">
            <w:pPr>
              <w:ind w:right="-1"/>
              <w:rPr>
                <w:b/>
              </w:rPr>
            </w:pPr>
          </w:p>
          <w:p w:rsidR="00DD3CB0" w:rsidRPr="00C5066F" w:rsidRDefault="00DD3CB0" w:rsidP="00876A37">
            <w:pPr>
              <w:ind w:right="-1"/>
            </w:pPr>
            <w:r w:rsidRPr="00C5066F">
              <w:t>This should be a concise summary of the proposal.</w:t>
            </w:r>
          </w:p>
          <w:p w:rsidR="00DD3CB0" w:rsidRPr="00C5066F" w:rsidRDefault="00DD3CB0" w:rsidP="00876A37"/>
          <w:p w:rsidR="00DD3CB0" w:rsidRPr="00C5066F" w:rsidRDefault="00DD3CB0" w:rsidP="00876A37">
            <w:pPr>
              <w:ind w:right="-1"/>
            </w:pPr>
            <w:r w:rsidRPr="00C5066F">
              <w:t>This should summarise the following:</w:t>
            </w:r>
          </w:p>
          <w:p w:rsidR="00DD3CB0" w:rsidRPr="00C5066F" w:rsidRDefault="00DD3CB0" w:rsidP="00DD3CB0">
            <w:pPr>
              <w:numPr>
                <w:ilvl w:val="0"/>
                <w:numId w:val="7"/>
              </w:numPr>
              <w:ind w:right="-1"/>
            </w:pPr>
            <w:r w:rsidRPr="00C5066F">
              <w:t>What do you want to do? (At this point, you will have analysed your short list of options and have a preferred option)</w:t>
            </w:r>
          </w:p>
          <w:p w:rsidR="00DD3CB0" w:rsidRPr="00C5066F" w:rsidRDefault="00DD3CB0" w:rsidP="00DD3CB0">
            <w:pPr>
              <w:numPr>
                <w:ilvl w:val="0"/>
                <w:numId w:val="7"/>
              </w:numPr>
              <w:ind w:right="-1"/>
            </w:pPr>
            <w:r w:rsidRPr="00C5066F">
              <w:t>Who are the beneficiaries?</w:t>
            </w:r>
          </w:p>
          <w:p w:rsidR="00DD3CB0" w:rsidRPr="00C5066F" w:rsidRDefault="00DD3CB0" w:rsidP="00DD3CB0">
            <w:pPr>
              <w:numPr>
                <w:ilvl w:val="0"/>
                <w:numId w:val="7"/>
              </w:numPr>
              <w:ind w:right="-1"/>
            </w:pPr>
            <w:r w:rsidRPr="00C5066F">
              <w:t>Why do you need to do it?</w:t>
            </w:r>
          </w:p>
          <w:p w:rsidR="00DD3CB0" w:rsidRPr="00C5066F" w:rsidRDefault="00DD3CB0" w:rsidP="00DD3CB0">
            <w:pPr>
              <w:numPr>
                <w:ilvl w:val="0"/>
                <w:numId w:val="4"/>
              </w:numPr>
              <w:ind w:right="-1"/>
            </w:pPr>
            <w:r w:rsidRPr="00C5066F">
              <w:t>Investment objectives</w:t>
            </w:r>
          </w:p>
          <w:p w:rsidR="00DD3CB0" w:rsidRPr="00C5066F" w:rsidRDefault="00DD3CB0" w:rsidP="00DD3CB0">
            <w:pPr>
              <w:numPr>
                <w:ilvl w:val="0"/>
                <w:numId w:val="3"/>
              </w:numPr>
              <w:ind w:right="-1"/>
            </w:pPr>
            <w:r w:rsidRPr="00C5066F">
              <w:t>Long list of options (summary)</w:t>
            </w:r>
          </w:p>
          <w:p w:rsidR="00DD3CB0" w:rsidRPr="00C5066F" w:rsidRDefault="00DD3CB0" w:rsidP="00DD3CB0">
            <w:pPr>
              <w:numPr>
                <w:ilvl w:val="0"/>
                <w:numId w:val="3"/>
              </w:numPr>
              <w:ind w:right="-1"/>
            </w:pPr>
            <w:r w:rsidRPr="00C5066F">
              <w:t>Short list of options (summary)</w:t>
            </w:r>
          </w:p>
          <w:p w:rsidR="00DD3CB0" w:rsidRPr="00C5066F" w:rsidRDefault="00DD3CB0" w:rsidP="00DD3CB0">
            <w:pPr>
              <w:numPr>
                <w:ilvl w:val="0"/>
                <w:numId w:val="3"/>
              </w:numPr>
              <w:ind w:right="-1"/>
            </w:pPr>
            <w:r w:rsidRPr="00C5066F">
              <w:t>Preferred option</w:t>
            </w:r>
          </w:p>
          <w:p w:rsidR="00DD3CB0" w:rsidRPr="00C5066F" w:rsidRDefault="00DD3CB0" w:rsidP="00DD3CB0">
            <w:pPr>
              <w:numPr>
                <w:ilvl w:val="0"/>
                <w:numId w:val="3"/>
              </w:numPr>
              <w:ind w:right="-1"/>
            </w:pPr>
            <w:r w:rsidRPr="00C5066F">
              <w:t>What investment is needed?</w:t>
            </w:r>
          </w:p>
          <w:p w:rsidR="00DD3CB0" w:rsidRPr="00C5066F" w:rsidRDefault="00DD3CB0" w:rsidP="00DD3CB0">
            <w:pPr>
              <w:numPr>
                <w:ilvl w:val="0"/>
                <w:numId w:val="3"/>
              </w:numPr>
              <w:ind w:right="-1"/>
            </w:pPr>
            <w:r w:rsidRPr="00C5066F">
              <w:t>What will this pay for?</w:t>
            </w:r>
          </w:p>
          <w:p w:rsidR="00DD3CB0" w:rsidRPr="00C5066F" w:rsidRDefault="00DD3CB0" w:rsidP="00DD3CB0">
            <w:pPr>
              <w:numPr>
                <w:ilvl w:val="0"/>
                <w:numId w:val="3"/>
              </w:numPr>
              <w:ind w:right="-1"/>
            </w:pPr>
            <w:r w:rsidRPr="00C5066F">
              <w:t>How wil</w:t>
            </w:r>
            <w:r w:rsidR="00D5576F">
              <w:t>l this address capacity surplus/</w:t>
            </w:r>
            <w:r w:rsidRPr="00C5066F">
              <w:t>deficit?</w:t>
            </w:r>
          </w:p>
          <w:p w:rsidR="00DD3CB0" w:rsidRPr="00C5066F" w:rsidRDefault="00DD3CB0" w:rsidP="00DD3CB0">
            <w:pPr>
              <w:numPr>
                <w:ilvl w:val="0"/>
                <w:numId w:val="3"/>
              </w:numPr>
              <w:ind w:right="-1"/>
            </w:pPr>
            <w:r w:rsidRPr="00C5066F">
              <w:t>How will this address building condition?</w:t>
            </w:r>
          </w:p>
          <w:p w:rsidR="00DD3CB0" w:rsidRPr="00C5066F" w:rsidRDefault="00DD3CB0" w:rsidP="00DD3CB0">
            <w:pPr>
              <w:numPr>
                <w:ilvl w:val="0"/>
                <w:numId w:val="3"/>
              </w:numPr>
              <w:ind w:right="-1"/>
            </w:pPr>
            <w:r w:rsidRPr="00C5066F">
              <w:t>Will this improve learner experience and enable delivery of the new curriculum?</w:t>
            </w:r>
          </w:p>
          <w:p w:rsidR="00DD3CB0" w:rsidRPr="00C5066F" w:rsidRDefault="00DD3CB0" w:rsidP="00DD3CB0">
            <w:pPr>
              <w:numPr>
                <w:ilvl w:val="0"/>
                <w:numId w:val="3"/>
              </w:numPr>
              <w:ind w:right="-1"/>
            </w:pPr>
            <w:r w:rsidRPr="00C5066F">
              <w:t>What impact will the preferred solution have on other schools/</w:t>
            </w:r>
            <w:r w:rsidRPr="00A131D1">
              <w:t>colleges i</w:t>
            </w:r>
            <w:r w:rsidRPr="00C5066F">
              <w:t>n the locality?</w:t>
            </w:r>
          </w:p>
          <w:p w:rsidR="00DD3CB0" w:rsidRPr="00C5066F" w:rsidRDefault="00DD3CB0" w:rsidP="00DD3CB0">
            <w:pPr>
              <w:pStyle w:val="ListParagraph"/>
              <w:numPr>
                <w:ilvl w:val="0"/>
                <w:numId w:val="3"/>
              </w:numPr>
              <w:autoSpaceDE w:val="0"/>
              <w:autoSpaceDN w:val="0"/>
              <w:adjustRightInd w:val="0"/>
              <w:contextualSpacing w:val="0"/>
            </w:pPr>
            <w:r w:rsidRPr="00A131D1">
              <w:t>How will the proposals help to provide community benefits</w:t>
            </w:r>
            <w:r w:rsidRPr="00C5066F">
              <w:t>, for example, does it include resources such as sports facilities and pitches to be used by the local community or clubs,</w:t>
            </w:r>
            <w:r w:rsidRPr="00A131D1">
              <w:t xml:space="preserve"> </w:t>
            </w:r>
            <w:r w:rsidRPr="00C5066F">
              <w:t>and play provision?</w:t>
            </w:r>
          </w:p>
          <w:p w:rsidR="00DD3CB0" w:rsidRPr="00C5066F" w:rsidRDefault="00DD3CB0" w:rsidP="00DD3CB0">
            <w:pPr>
              <w:pStyle w:val="ListParagraph"/>
              <w:numPr>
                <w:ilvl w:val="0"/>
                <w:numId w:val="3"/>
              </w:numPr>
              <w:autoSpaceDE w:val="0"/>
              <w:autoSpaceDN w:val="0"/>
              <w:adjustRightInd w:val="0"/>
              <w:contextualSpacing w:val="0"/>
            </w:pPr>
            <w:r w:rsidRPr="00C5066F">
              <w:t>How will the project impact on learner travel?</w:t>
            </w:r>
          </w:p>
          <w:p w:rsidR="00DD3CB0" w:rsidRPr="00C5066F" w:rsidRDefault="00DD3CB0" w:rsidP="00DD3CB0">
            <w:pPr>
              <w:numPr>
                <w:ilvl w:val="0"/>
                <w:numId w:val="3"/>
              </w:numPr>
              <w:ind w:right="-1"/>
            </w:pPr>
            <w:r w:rsidRPr="00C5066F">
              <w:t>What are the headline benefits?</w:t>
            </w:r>
          </w:p>
          <w:p w:rsidR="00DD3CB0" w:rsidRPr="00C5066F" w:rsidRDefault="00DD3CB0" w:rsidP="00DD3CB0">
            <w:pPr>
              <w:numPr>
                <w:ilvl w:val="0"/>
                <w:numId w:val="3"/>
              </w:numPr>
              <w:rPr>
                <w:bCs/>
              </w:rPr>
            </w:pPr>
            <w:r w:rsidRPr="00C5066F">
              <w:rPr>
                <w:bCs/>
              </w:rPr>
              <w:t>It should contain a summary of the information containe</w:t>
            </w:r>
            <w:r w:rsidR="00D5576F">
              <w:rPr>
                <w:bCs/>
              </w:rPr>
              <w:t>d within each of the five cases</w:t>
            </w:r>
          </w:p>
          <w:p w:rsidR="00DD3CB0" w:rsidRPr="00C5066F" w:rsidRDefault="00DD3CB0" w:rsidP="00DD3CB0">
            <w:pPr>
              <w:numPr>
                <w:ilvl w:val="0"/>
                <w:numId w:val="3"/>
              </w:numPr>
              <w:rPr>
                <w:bCs/>
              </w:rPr>
            </w:pPr>
            <w:r w:rsidRPr="00C5066F">
              <w:rPr>
                <w:bCs/>
              </w:rPr>
              <w:t>You should confirm that any issues raised by the Welsh Government a</w:t>
            </w:r>
            <w:r w:rsidR="00D5576F">
              <w:rPr>
                <w:bCs/>
              </w:rPr>
              <w:t>t SOC stage have been addressed</w:t>
            </w:r>
          </w:p>
          <w:p w:rsidR="00DD3CB0" w:rsidRPr="00C5066F" w:rsidRDefault="00D5576F" w:rsidP="00DD3CB0">
            <w:pPr>
              <w:numPr>
                <w:ilvl w:val="0"/>
                <w:numId w:val="3"/>
              </w:numPr>
              <w:rPr>
                <w:bCs/>
              </w:rPr>
            </w:pPr>
            <w:r>
              <w:rPr>
                <w:bCs/>
              </w:rPr>
              <w:t>Support for scheme</w:t>
            </w:r>
          </w:p>
          <w:p w:rsidR="00DD3CB0" w:rsidRPr="00C5066F" w:rsidRDefault="00DD3CB0" w:rsidP="00876A37">
            <w:pPr>
              <w:ind w:right="-1"/>
            </w:pPr>
          </w:p>
          <w:p w:rsidR="00DD3CB0" w:rsidRPr="00C5066F" w:rsidRDefault="00D5576F" w:rsidP="00876A37">
            <w:pPr>
              <w:ind w:right="-1"/>
            </w:pPr>
            <w:r>
              <w:t>For example:</w:t>
            </w:r>
          </w:p>
          <w:p w:rsidR="00DD3CB0" w:rsidRPr="00C5066F" w:rsidRDefault="00DD3CB0" w:rsidP="00876A37">
            <w:pPr>
              <w:numPr>
                <w:ilvl w:val="0"/>
                <w:numId w:val="8"/>
              </w:numPr>
              <w:ind w:right="-1"/>
            </w:pPr>
            <w:r w:rsidRPr="00C5066F">
              <w:t>This is a proposal to build a new 11-19 school on an existing site for 1,500 learners.</w:t>
            </w:r>
          </w:p>
          <w:p w:rsidR="00DD3CB0" w:rsidRPr="00C5066F" w:rsidRDefault="00DD3CB0" w:rsidP="00876A37">
            <w:pPr>
              <w:numPr>
                <w:ilvl w:val="0"/>
                <w:numId w:val="8"/>
              </w:numPr>
              <w:ind w:right="-1"/>
            </w:pPr>
            <w:r w:rsidRPr="00C5066F">
              <w:t>It will address surplus capacity / poor building condition in the existing school.</w:t>
            </w:r>
          </w:p>
          <w:p w:rsidR="00DD3CB0" w:rsidRPr="00C5066F" w:rsidRDefault="00DD3CB0" w:rsidP="00876A37">
            <w:pPr>
              <w:numPr>
                <w:ilvl w:val="0"/>
                <w:numId w:val="8"/>
              </w:numPr>
              <w:ind w:right="-1"/>
            </w:pPr>
            <w:r w:rsidRPr="00C5066F">
              <w:t xml:space="preserve">It will result in the replacement of a Category D school with one that is Category A.  </w:t>
            </w:r>
          </w:p>
          <w:p w:rsidR="00DD3CB0" w:rsidRPr="00C5066F" w:rsidRDefault="00DD3CB0" w:rsidP="00876A37">
            <w:pPr>
              <w:numPr>
                <w:ilvl w:val="0"/>
                <w:numId w:val="8"/>
              </w:numPr>
              <w:ind w:right="-1"/>
            </w:pPr>
            <w:r w:rsidRPr="00C5066F">
              <w:t>It will reduce surplus capacity by 200 places, bringing the current surplus down to below 10% and we anticipate a £20k per annum revenue saving in respect of energy costs.</w:t>
            </w:r>
          </w:p>
          <w:p w:rsidR="00DD3CB0" w:rsidRPr="00C5066F" w:rsidRDefault="00DD3CB0" w:rsidP="00DD3CB0">
            <w:pPr>
              <w:numPr>
                <w:ilvl w:val="0"/>
                <w:numId w:val="8"/>
              </w:numPr>
              <w:ind w:right="-1"/>
            </w:pPr>
            <w:r w:rsidRPr="00C5066F">
              <w:t>The cost of the preferred option is estimated to be £8.3 million. This figure will be confirmed in the Full Business Case.</w:t>
            </w:r>
          </w:p>
          <w:p w:rsidR="00DD3CB0" w:rsidRPr="00C5066F" w:rsidRDefault="00DD3CB0" w:rsidP="00876A37">
            <w:pPr>
              <w:pStyle w:val="ListParagraph"/>
            </w:pPr>
          </w:p>
          <w:p w:rsidR="00DD3CB0" w:rsidRPr="00C5066F" w:rsidRDefault="00DD3CB0" w:rsidP="00DD3CB0">
            <w:pPr>
              <w:numPr>
                <w:ilvl w:val="0"/>
                <w:numId w:val="8"/>
              </w:numPr>
              <w:ind w:right="-1"/>
            </w:pPr>
            <w:r w:rsidRPr="00C5066F">
              <w:lastRenderedPageBreak/>
              <w:t>There will be a new artificial turf pitch on the site which will be made available to local clubs at certain times outside school hours.</w:t>
            </w:r>
          </w:p>
          <w:p w:rsidR="00DD3CB0" w:rsidRPr="00C5066F" w:rsidRDefault="00DD3CB0" w:rsidP="00876A37">
            <w:pPr>
              <w:ind w:right="-1"/>
              <w:rPr>
                <w:b/>
              </w:rPr>
            </w:pPr>
          </w:p>
          <w:p w:rsidR="00DD3CB0" w:rsidRPr="00C5066F" w:rsidRDefault="00DD3CB0" w:rsidP="00876A37">
            <w:pPr>
              <w:ind w:right="-1"/>
            </w:pPr>
            <w:r w:rsidRPr="00C5066F">
              <w:t>Include a summary of the conclusions reached in each of the five sections of the Business Case.</w:t>
            </w:r>
          </w:p>
          <w:p w:rsidR="00DD3CB0" w:rsidRPr="00C5066F" w:rsidRDefault="00DD3CB0" w:rsidP="00876A37">
            <w:pPr>
              <w:ind w:right="-1"/>
            </w:pPr>
          </w:p>
          <w:p w:rsidR="00DD3CB0" w:rsidRPr="00C5066F" w:rsidRDefault="00DD3CB0" w:rsidP="00876A37">
            <w:pPr>
              <w:ind w:right="-1"/>
            </w:pPr>
            <w:r w:rsidRPr="00C5066F">
              <w:t>Also include any statutory consultations, Cabinet approval and market support.</w:t>
            </w:r>
          </w:p>
          <w:p w:rsidR="00DD3CB0" w:rsidRPr="00C5066F" w:rsidRDefault="00DD3CB0" w:rsidP="00876A37">
            <w:pPr>
              <w:ind w:right="-1"/>
            </w:pPr>
          </w:p>
        </w:tc>
      </w:tr>
    </w:tbl>
    <w:p w:rsidR="00DD3CB0" w:rsidRPr="00C5066F" w:rsidRDefault="00DD3CB0" w:rsidP="00DD3CB0">
      <w:pPr>
        <w:ind w:right="-1"/>
        <w:rPr>
          <w:b/>
        </w:rPr>
      </w:pPr>
    </w:p>
    <w:p w:rsidR="00DD3CB0" w:rsidRPr="00C5066F" w:rsidRDefault="00DD3CB0" w:rsidP="00DD3CB0">
      <w:pPr>
        <w:ind w:right="-1"/>
        <w:rPr>
          <w:b/>
          <w:sz w:val="28"/>
          <w:szCs w:val="28"/>
        </w:rPr>
      </w:pPr>
      <w:r w:rsidRPr="00C5066F">
        <w:rPr>
          <w:b/>
          <w:sz w:val="28"/>
          <w:szCs w:val="28"/>
        </w:rPr>
        <w:t>Strategic 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DD3CB0" w:rsidRPr="00C5066F" w:rsidTr="00876A37">
        <w:trPr>
          <w:trHeight w:val="3632"/>
        </w:trPr>
        <w:tc>
          <w:tcPr>
            <w:tcW w:w="9498" w:type="dxa"/>
            <w:shd w:val="clear" w:color="auto" w:fill="auto"/>
          </w:tcPr>
          <w:p w:rsidR="00DD3CB0" w:rsidRPr="00C5066F" w:rsidRDefault="00DD3CB0" w:rsidP="00876A37">
            <w:pPr>
              <w:ind w:right="-1"/>
              <w:rPr>
                <w:b/>
              </w:rPr>
            </w:pPr>
            <w:r w:rsidRPr="00C5066F">
              <w:rPr>
                <w:b/>
              </w:rPr>
              <w:t>1000 Words Maximum</w:t>
            </w:r>
          </w:p>
          <w:p w:rsidR="00DD3CB0" w:rsidRPr="00C5066F" w:rsidRDefault="00DD3CB0" w:rsidP="00876A37">
            <w:pPr>
              <w:ind w:right="-1"/>
              <w:rPr>
                <w:b/>
              </w:rPr>
            </w:pPr>
          </w:p>
          <w:p w:rsidR="00DD3CB0" w:rsidRPr="00C5066F" w:rsidRDefault="00DD3CB0" w:rsidP="00876A37">
            <w:pPr>
              <w:ind w:right="-1"/>
            </w:pPr>
            <w:r w:rsidRPr="00C5066F">
              <w:t>At OBC Stage, it may be necessary to update the Strategic Case as presented at SOC.  This may be in relation to local changes in policy or in response to comments raised during the assessment process.</w:t>
            </w:r>
          </w:p>
          <w:p w:rsidR="00DD3CB0" w:rsidRPr="00C5066F" w:rsidRDefault="00DD3CB0" w:rsidP="00876A37">
            <w:pPr>
              <w:ind w:right="-1"/>
            </w:pPr>
          </w:p>
          <w:p w:rsidR="00DD3CB0" w:rsidRPr="00C5066F" w:rsidRDefault="00DD3CB0" w:rsidP="00876A37">
            <w:pPr>
              <w:ind w:right="-1"/>
            </w:pPr>
            <w:r w:rsidRPr="00C5066F">
              <w:t>It is important that the Strategic Case identifies whether any changes have been made and/or records responses to comments raised by Welsh Government assessors.</w:t>
            </w:r>
          </w:p>
          <w:p w:rsidR="00DD3CB0" w:rsidRPr="00C5066F" w:rsidRDefault="00DD3CB0" w:rsidP="00876A37">
            <w:pPr>
              <w:ind w:right="-1"/>
            </w:pPr>
          </w:p>
          <w:p w:rsidR="00DD3CB0" w:rsidRPr="003D7247" w:rsidRDefault="00DD3CB0" w:rsidP="00876A37">
            <w:pPr>
              <w:ind w:right="-1"/>
            </w:pPr>
            <w:r w:rsidRPr="00C5066F">
              <w:t>If there are no changes to be made and/or no comments to be ad</w:t>
            </w:r>
            <w:r>
              <w:t>dressed, this should be stated.</w:t>
            </w:r>
          </w:p>
          <w:p w:rsidR="00DD3CB0" w:rsidRPr="00C5066F" w:rsidRDefault="00DD3CB0" w:rsidP="00876A37">
            <w:pPr>
              <w:ind w:right="-1"/>
              <w:rPr>
                <w:b/>
              </w:rPr>
            </w:pPr>
          </w:p>
        </w:tc>
      </w:tr>
    </w:tbl>
    <w:p w:rsidR="00DD3CB0" w:rsidRPr="00C5066F" w:rsidRDefault="00DD3CB0" w:rsidP="00DD3CB0">
      <w:pPr>
        <w:rPr>
          <w:b/>
          <w:lang w:eastAsia="en-GB"/>
        </w:rPr>
      </w:pPr>
      <w:bookmarkStart w:id="1" w:name="_Toc525296130"/>
      <w:bookmarkStart w:id="2" w:name="_Toc525296191"/>
      <w:bookmarkStart w:id="3" w:name="_Toc525444762"/>
      <w:bookmarkStart w:id="4" w:name="_Toc525779507"/>
      <w:bookmarkStart w:id="5" w:name="_Toc525896817"/>
      <w:bookmarkStart w:id="6" w:name="_Toc525928053"/>
      <w:bookmarkStart w:id="7" w:name="_Toc525978177"/>
      <w:bookmarkStart w:id="8" w:name="_Toc526129180"/>
      <w:bookmarkStart w:id="9" w:name="_Toc526129419"/>
      <w:bookmarkStart w:id="10" w:name="_Toc526129494"/>
      <w:bookmarkStart w:id="11" w:name="_Toc526674953"/>
      <w:bookmarkStart w:id="12" w:name="_Toc526694822"/>
      <w:bookmarkStart w:id="13" w:name="_Toc526696388"/>
      <w:bookmarkStart w:id="14" w:name="_Toc526696978"/>
      <w:bookmarkStart w:id="15" w:name="_Toc526698512"/>
      <w:bookmarkStart w:id="16" w:name="_Toc526698580"/>
      <w:bookmarkStart w:id="17" w:name="_Toc526698969"/>
      <w:bookmarkStart w:id="18" w:name="_Toc526844230"/>
      <w:bookmarkStart w:id="19" w:name="_Toc526845120"/>
      <w:bookmarkStart w:id="20" w:name="_Toc526850932"/>
      <w:bookmarkStart w:id="21" w:name="_Toc526856326"/>
    </w:p>
    <w:p w:rsidR="00DD3CB0" w:rsidRPr="00C5066F" w:rsidRDefault="00DD3CB0" w:rsidP="00DD3CB0">
      <w:pPr>
        <w:rPr>
          <w:b/>
          <w:sz w:val="28"/>
          <w:szCs w:val="28"/>
          <w:lang w:eastAsia="en-GB"/>
        </w:rPr>
      </w:pPr>
      <w:r w:rsidRPr="00C5066F">
        <w:rPr>
          <w:b/>
          <w:sz w:val="28"/>
          <w:szCs w:val="28"/>
          <w:lang w:eastAsia="en-GB"/>
        </w:rPr>
        <w:t>Economic case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CB0" w:rsidRPr="00C5066F" w:rsidTr="00876A37">
        <w:tc>
          <w:tcPr>
            <w:tcW w:w="9606" w:type="dxa"/>
            <w:shd w:val="clear" w:color="auto" w:fill="auto"/>
          </w:tcPr>
          <w:p w:rsidR="00DD3CB0" w:rsidRPr="00C5066F" w:rsidRDefault="00DD3CB0" w:rsidP="00876A37">
            <w:pPr>
              <w:rPr>
                <w:b/>
              </w:rPr>
            </w:pPr>
            <w:r w:rsidRPr="00C5066F">
              <w:rPr>
                <w:b/>
              </w:rPr>
              <w:t>3000 Words Maximum</w:t>
            </w:r>
          </w:p>
          <w:p w:rsidR="00DD3CB0" w:rsidRPr="00C5066F" w:rsidRDefault="00DD3CB0" w:rsidP="00876A37">
            <w:pPr>
              <w:rPr>
                <w:b/>
              </w:rPr>
            </w:pPr>
          </w:p>
          <w:p w:rsidR="00DD3CB0" w:rsidRPr="00C5066F" w:rsidRDefault="00DD3CB0" w:rsidP="00876A37">
            <w:r w:rsidRPr="00C5066F">
              <w:t>This section should briefly restate the long list of options and then undertake a detailed analysis of the shortlist.</w:t>
            </w:r>
          </w:p>
          <w:p w:rsidR="00DD3CB0" w:rsidRPr="00C5066F" w:rsidRDefault="00DD3CB0" w:rsidP="00876A37"/>
          <w:p w:rsidR="00DD3CB0" w:rsidRPr="00C5066F" w:rsidRDefault="00DD3CB0" w:rsidP="00876A37">
            <w:r w:rsidRPr="00C5066F">
              <w:t>This should include:</w:t>
            </w:r>
          </w:p>
          <w:p w:rsidR="00DD3CB0" w:rsidRPr="00C5066F" w:rsidRDefault="00D5576F" w:rsidP="00DD3CB0">
            <w:pPr>
              <w:numPr>
                <w:ilvl w:val="0"/>
                <w:numId w:val="9"/>
              </w:numPr>
            </w:pPr>
            <w:r>
              <w:t>appraisal of costs and benefits</w:t>
            </w:r>
          </w:p>
          <w:p w:rsidR="00DD3CB0" w:rsidRPr="00C5066F" w:rsidRDefault="00DD3CB0" w:rsidP="00DD3CB0">
            <w:pPr>
              <w:numPr>
                <w:ilvl w:val="0"/>
                <w:numId w:val="9"/>
              </w:numPr>
            </w:pPr>
            <w:r w:rsidRPr="00C5066F">
              <w:t xml:space="preserve">appraisal of </w:t>
            </w:r>
            <w:r w:rsidR="00D5576F">
              <w:t>qualitative benefits</w:t>
            </w:r>
          </w:p>
          <w:p w:rsidR="00DD3CB0" w:rsidRPr="00C5066F" w:rsidRDefault="00DD3CB0" w:rsidP="00DD3CB0">
            <w:pPr>
              <w:numPr>
                <w:ilvl w:val="0"/>
                <w:numId w:val="9"/>
              </w:numPr>
            </w:pPr>
            <w:r w:rsidRPr="00C5066F">
              <w:t xml:space="preserve">assessment of </w:t>
            </w:r>
            <w:r w:rsidR="00D5576F">
              <w:t>risk (including optimism bias)</w:t>
            </w:r>
          </w:p>
          <w:p w:rsidR="00DD3CB0" w:rsidRPr="00C5066F" w:rsidRDefault="00DD3CB0" w:rsidP="00DD3CB0">
            <w:pPr>
              <w:numPr>
                <w:ilvl w:val="0"/>
                <w:numId w:val="9"/>
              </w:numPr>
            </w:pPr>
            <w:r w:rsidRPr="00C5066F">
              <w:t>sensitivity analysis.</w:t>
            </w:r>
          </w:p>
          <w:p w:rsidR="00DD3CB0" w:rsidRPr="00C5066F" w:rsidRDefault="00DD3CB0" w:rsidP="00876A37"/>
          <w:p w:rsidR="00DD3CB0" w:rsidRPr="00C5066F" w:rsidRDefault="00DD3CB0" w:rsidP="00876A37">
            <w:r w:rsidRPr="00C5066F">
              <w:t>The preferred option should then be identified.</w:t>
            </w:r>
          </w:p>
          <w:p w:rsidR="00DD3CB0" w:rsidRPr="00C5066F" w:rsidRDefault="00DD3CB0" w:rsidP="00876A37"/>
          <w:p w:rsidR="00DD3CB0" w:rsidRPr="00C5066F" w:rsidRDefault="00DD3CB0" w:rsidP="00876A37">
            <w:pPr>
              <w:spacing w:after="120"/>
            </w:pPr>
            <w:r w:rsidRPr="00C5066F">
              <w:t>This analysis should include confirmation that the Investment Objectives and Critical Success Factors identified in the SOC have been revisited and have not changed.</w:t>
            </w:r>
          </w:p>
          <w:p w:rsidR="00DD3CB0" w:rsidRPr="00C5066F" w:rsidRDefault="00DD3CB0" w:rsidP="00876A37">
            <w:pPr>
              <w:spacing w:after="120"/>
            </w:pPr>
            <w:r w:rsidRPr="00C5066F">
              <w:t>It is also important that the long list of options is referred to and that it is confirmed that these have been</w:t>
            </w:r>
            <w:r>
              <w:t xml:space="preserve"> revisited and no changes made.</w:t>
            </w:r>
          </w:p>
        </w:tc>
      </w:tr>
    </w:tbl>
    <w:p w:rsidR="00DD3CB0" w:rsidRPr="00C5066F" w:rsidRDefault="00DD3CB0" w:rsidP="00DD3CB0">
      <w:pPr>
        <w:rPr>
          <w:b/>
          <w:lang w:eastAsia="en-GB"/>
        </w:rPr>
      </w:pPr>
    </w:p>
    <w:p w:rsidR="00DD3CB0" w:rsidRPr="00C5066F" w:rsidRDefault="00DD3CB0" w:rsidP="00DD3CB0">
      <w:pPr>
        <w:rPr>
          <w:b/>
          <w:sz w:val="28"/>
          <w:szCs w:val="28"/>
          <w:lang w:eastAsia="en-GB"/>
        </w:rPr>
      </w:pPr>
      <w:r w:rsidRPr="00C5066F">
        <w:rPr>
          <w:b/>
          <w:sz w:val="28"/>
          <w:szCs w:val="28"/>
          <w:lang w:eastAsia="en-GB"/>
        </w:rPr>
        <w:t>Commercial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CB0" w:rsidRPr="00C5066F" w:rsidTr="00876A37">
        <w:tc>
          <w:tcPr>
            <w:tcW w:w="8522" w:type="dxa"/>
            <w:shd w:val="clear" w:color="auto" w:fill="auto"/>
          </w:tcPr>
          <w:p w:rsidR="00DD3CB0" w:rsidRPr="00C5066F" w:rsidRDefault="00DD3CB0" w:rsidP="00876A37">
            <w:pPr>
              <w:rPr>
                <w:b/>
              </w:rPr>
            </w:pPr>
            <w:r w:rsidRPr="00C5066F">
              <w:rPr>
                <w:b/>
              </w:rPr>
              <w:t>1000 Words Maximum</w:t>
            </w:r>
          </w:p>
          <w:p w:rsidR="00DD3CB0" w:rsidRPr="00C5066F" w:rsidRDefault="00DD3CB0" w:rsidP="00876A37">
            <w:pPr>
              <w:rPr>
                <w:b/>
              </w:rPr>
            </w:pPr>
          </w:p>
          <w:p w:rsidR="00DD3CB0" w:rsidRPr="00C5066F" w:rsidRDefault="00DD3CB0" w:rsidP="00876A37">
            <w:pPr>
              <w:pStyle w:val="BodyText"/>
              <w:rPr>
                <w:rFonts w:ascii="Arial" w:hAnsi="Arial" w:cs="Arial"/>
              </w:rPr>
            </w:pPr>
            <w:r w:rsidRPr="00C5066F">
              <w:rPr>
                <w:rFonts w:ascii="Arial" w:hAnsi="Arial" w:cs="Arial"/>
              </w:rPr>
              <w:t xml:space="preserve">This section of the OBC outlines the proposed deal in relation to the preferred option </w:t>
            </w:r>
            <w:r w:rsidRPr="00C5066F">
              <w:rPr>
                <w:rFonts w:ascii="Arial" w:hAnsi="Arial" w:cs="Arial"/>
              </w:rPr>
              <w:lastRenderedPageBreak/>
              <w:t>outlined in the economic case.</w:t>
            </w:r>
          </w:p>
          <w:p w:rsidR="00DD3CB0" w:rsidRPr="00C5066F" w:rsidRDefault="00DD3CB0" w:rsidP="00876A37">
            <w:pPr>
              <w:pStyle w:val="BodyText"/>
              <w:rPr>
                <w:rFonts w:ascii="Arial" w:hAnsi="Arial" w:cs="Arial"/>
              </w:rPr>
            </w:pPr>
            <w:r w:rsidRPr="00C5066F">
              <w:rPr>
                <w:rFonts w:ascii="Arial" w:hAnsi="Arial" w:cs="Arial"/>
              </w:rPr>
              <w:t xml:space="preserve">This section should confirm the method of procurement, whether the project will be procured via a regional framework such as </w:t>
            </w:r>
            <w:r w:rsidRPr="00C5066F">
              <w:rPr>
                <w:rFonts w:ascii="Arial" w:hAnsi="Arial" w:cs="Arial"/>
                <w:lang w:eastAsia="en-GB"/>
              </w:rPr>
              <w:t>SEWSCAP, South West Wales Regional</w:t>
            </w:r>
            <w:r w:rsidR="00D5576F">
              <w:rPr>
                <w:rFonts w:ascii="Arial" w:hAnsi="Arial" w:cs="Arial"/>
                <w:lang w:eastAsia="en-GB"/>
              </w:rPr>
              <w:t xml:space="preserve"> Contractor Framework (SWWRCF) </w:t>
            </w:r>
            <w:r w:rsidRPr="00C5066F">
              <w:rPr>
                <w:rFonts w:ascii="Arial" w:hAnsi="Arial" w:cs="Arial"/>
                <w:lang w:eastAsia="en-GB"/>
              </w:rPr>
              <w:t xml:space="preserve">or </w:t>
            </w:r>
            <w:hyperlink r:id="rId6" w:tooltip="Permalink to North Wales Schools and Public Buildings Contractor Framework" w:history="1">
              <w:r w:rsidRPr="00C5066F">
                <w:rPr>
                  <w:rFonts w:ascii="Arial" w:hAnsi="Arial" w:cs="Arial"/>
                  <w:lang w:eastAsia="en-GB"/>
                </w:rPr>
                <w:t>North Wales Schools and Public Buildings Contractor Framework</w:t>
              </w:r>
            </w:hyperlink>
            <w:r w:rsidRPr="00C5066F">
              <w:rPr>
                <w:rFonts w:ascii="Arial" w:hAnsi="Arial" w:cs="Arial"/>
              </w:rPr>
              <w:t xml:space="preserve"> or via a separate OJEU tender process.</w:t>
            </w:r>
          </w:p>
          <w:p w:rsidR="00DD3CB0" w:rsidRPr="00C5066F" w:rsidRDefault="00DD3CB0" w:rsidP="00876A37">
            <w:pPr>
              <w:spacing w:after="120"/>
            </w:pPr>
            <w:r w:rsidRPr="00C5066F">
              <w:t>This section should also include the required services and the potential for risk transfer.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5812"/>
              <w:gridCol w:w="1134"/>
              <w:gridCol w:w="1276"/>
              <w:gridCol w:w="1134"/>
            </w:tblGrid>
            <w:tr w:rsidR="00DD3CB0" w:rsidRPr="00C5066F" w:rsidTr="00876A37">
              <w:trPr>
                <w:cantSplit/>
                <w:trHeight w:val="580"/>
              </w:trPr>
              <w:tc>
                <w:tcPr>
                  <w:tcW w:w="5812" w:type="dxa"/>
                  <w:vMerge w:val="restart"/>
                  <w:shd w:val="clear" w:color="auto" w:fill="E6E6E6"/>
                </w:tcPr>
                <w:p w:rsidR="00DD3CB0" w:rsidRPr="00C5066F" w:rsidRDefault="00DD3CB0" w:rsidP="00876A37">
                  <w:pPr>
                    <w:spacing w:after="120"/>
                    <w:rPr>
                      <w:b/>
                    </w:rPr>
                  </w:pPr>
                  <w:r w:rsidRPr="00C5066F">
                    <w:rPr>
                      <w:b/>
                    </w:rPr>
                    <w:t>Risk Category</w:t>
                  </w:r>
                </w:p>
              </w:tc>
              <w:tc>
                <w:tcPr>
                  <w:tcW w:w="3544" w:type="dxa"/>
                  <w:gridSpan w:val="3"/>
                  <w:shd w:val="clear" w:color="auto" w:fill="E6E6E6"/>
                </w:tcPr>
                <w:p w:rsidR="00DD3CB0" w:rsidRPr="00C5066F" w:rsidRDefault="00DD3CB0" w:rsidP="00876A37">
                  <w:pPr>
                    <w:spacing w:after="120"/>
                    <w:rPr>
                      <w:b/>
                    </w:rPr>
                  </w:pPr>
                  <w:r w:rsidRPr="00C5066F">
                    <w:rPr>
                      <w:b/>
                    </w:rPr>
                    <w:t>Potential allocation</w:t>
                  </w:r>
                </w:p>
              </w:tc>
            </w:tr>
            <w:tr w:rsidR="00DD3CB0" w:rsidRPr="00C5066F" w:rsidTr="00876A37">
              <w:trPr>
                <w:cantSplit/>
              </w:trPr>
              <w:tc>
                <w:tcPr>
                  <w:tcW w:w="5812" w:type="dxa"/>
                  <w:vMerge/>
                </w:tcPr>
                <w:p w:rsidR="00DD3CB0" w:rsidRPr="00C5066F" w:rsidRDefault="00DD3CB0" w:rsidP="00876A37">
                  <w:pPr>
                    <w:spacing w:after="120"/>
                    <w:rPr>
                      <w:b/>
                    </w:rPr>
                  </w:pPr>
                </w:p>
              </w:tc>
              <w:tc>
                <w:tcPr>
                  <w:tcW w:w="1134" w:type="dxa"/>
                  <w:shd w:val="clear" w:color="auto" w:fill="E6E6E6"/>
                </w:tcPr>
                <w:p w:rsidR="00DD3CB0" w:rsidRPr="00C5066F" w:rsidRDefault="00DD3CB0" w:rsidP="00876A37">
                  <w:pPr>
                    <w:spacing w:after="120"/>
                    <w:rPr>
                      <w:b/>
                    </w:rPr>
                  </w:pPr>
                  <w:r w:rsidRPr="00C5066F">
                    <w:rPr>
                      <w:b/>
                    </w:rPr>
                    <w:t>Public</w:t>
                  </w:r>
                </w:p>
              </w:tc>
              <w:tc>
                <w:tcPr>
                  <w:tcW w:w="1276" w:type="dxa"/>
                  <w:shd w:val="clear" w:color="auto" w:fill="E6E6E6"/>
                </w:tcPr>
                <w:p w:rsidR="00DD3CB0" w:rsidRPr="00C5066F" w:rsidRDefault="00DD3CB0" w:rsidP="00876A37">
                  <w:pPr>
                    <w:spacing w:after="120"/>
                    <w:rPr>
                      <w:b/>
                    </w:rPr>
                  </w:pPr>
                  <w:r w:rsidRPr="00C5066F">
                    <w:rPr>
                      <w:b/>
                    </w:rPr>
                    <w:t xml:space="preserve">Private </w:t>
                  </w:r>
                </w:p>
              </w:tc>
              <w:tc>
                <w:tcPr>
                  <w:tcW w:w="1134" w:type="dxa"/>
                  <w:shd w:val="clear" w:color="auto" w:fill="E6E6E6"/>
                </w:tcPr>
                <w:p w:rsidR="00DD3CB0" w:rsidRPr="00C5066F" w:rsidRDefault="00DD3CB0" w:rsidP="00876A37">
                  <w:pPr>
                    <w:spacing w:after="120"/>
                    <w:rPr>
                      <w:b/>
                    </w:rPr>
                  </w:pPr>
                  <w:r w:rsidRPr="00C5066F">
                    <w:rPr>
                      <w:b/>
                    </w:rPr>
                    <w:t>Shared</w:t>
                  </w:r>
                </w:p>
              </w:tc>
            </w:tr>
            <w:tr w:rsidR="00DD3CB0" w:rsidRPr="00C5066F" w:rsidTr="00876A37">
              <w:tc>
                <w:tcPr>
                  <w:tcW w:w="5812" w:type="dxa"/>
                  <w:shd w:val="clear" w:color="auto" w:fill="E6E6E6"/>
                </w:tcPr>
                <w:p w:rsidR="00DD3CB0" w:rsidRPr="00C5066F" w:rsidRDefault="00DD3CB0" w:rsidP="00876A37">
                  <w:pPr>
                    <w:spacing w:after="120"/>
                  </w:pPr>
                  <w:r w:rsidRPr="00C5066F">
                    <w:t>1. Design risk – D&amp;B</w:t>
                  </w:r>
                </w:p>
              </w:tc>
              <w:tc>
                <w:tcPr>
                  <w:tcW w:w="1134" w:type="dxa"/>
                  <w:shd w:val="clear" w:color="auto" w:fill="E6E6E6"/>
                </w:tcPr>
                <w:p w:rsidR="00DD3CB0" w:rsidRPr="00C5066F" w:rsidRDefault="00DD3CB0" w:rsidP="00DD3CB0">
                  <w:pPr>
                    <w:numPr>
                      <w:ilvl w:val="1"/>
                      <w:numId w:val="1"/>
                    </w:numPr>
                  </w:pPr>
                </w:p>
              </w:tc>
              <w:tc>
                <w:tcPr>
                  <w:tcW w:w="1276" w:type="dxa"/>
                  <w:shd w:val="clear" w:color="auto" w:fill="E6E6E6"/>
                </w:tcPr>
                <w:p w:rsidR="00DD3CB0" w:rsidRPr="00C5066F" w:rsidRDefault="00DD3CB0" w:rsidP="00876A37">
                  <w:pPr>
                    <w:spacing w:after="120"/>
                    <w:ind w:left="1080"/>
                  </w:pPr>
                </w:p>
              </w:tc>
              <w:tc>
                <w:tcPr>
                  <w:tcW w:w="1134" w:type="dxa"/>
                  <w:shd w:val="clear" w:color="auto" w:fill="E6E6E6"/>
                </w:tcPr>
                <w:p w:rsidR="00DD3CB0" w:rsidRPr="00C5066F" w:rsidRDefault="00DD3CB0" w:rsidP="00DD3CB0">
                  <w:pPr>
                    <w:numPr>
                      <w:ilvl w:val="0"/>
                      <w:numId w:val="2"/>
                    </w:numPr>
                  </w:pPr>
                </w:p>
              </w:tc>
            </w:tr>
            <w:tr w:rsidR="00DD3CB0" w:rsidRPr="00C5066F" w:rsidTr="00876A37">
              <w:tc>
                <w:tcPr>
                  <w:tcW w:w="5812" w:type="dxa"/>
                  <w:shd w:val="clear" w:color="auto" w:fill="E6E6E6"/>
                </w:tcPr>
                <w:p w:rsidR="00DD3CB0" w:rsidRPr="00C5066F" w:rsidRDefault="00DD3CB0" w:rsidP="00876A37">
                  <w:pPr>
                    <w:spacing w:after="120"/>
                  </w:pPr>
                  <w:r w:rsidRPr="00C5066F">
                    <w:t>2. Construction and development risk – D&amp;B</w:t>
                  </w:r>
                </w:p>
              </w:tc>
              <w:tc>
                <w:tcPr>
                  <w:tcW w:w="1134" w:type="dxa"/>
                  <w:shd w:val="clear" w:color="auto" w:fill="E6E6E6"/>
                </w:tcPr>
                <w:p w:rsidR="00DD3CB0" w:rsidRPr="00C5066F" w:rsidRDefault="00DD3CB0" w:rsidP="00876A37">
                  <w:pPr>
                    <w:spacing w:after="120"/>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DD3CB0">
                  <w:pPr>
                    <w:numPr>
                      <w:ilvl w:val="0"/>
                      <w:numId w:val="2"/>
                    </w:numPr>
                  </w:pPr>
                </w:p>
              </w:tc>
            </w:tr>
            <w:tr w:rsidR="00DD3CB0" w:rsidRPr="00C5066F" w:rsidTr="00876A37">
              <w:tc>
                <w:tcPr>
                  <w:tcW w:w="5812" w:type="dxa"/>
                  <w:shd w:val="clear" w:color="auto" w:fill="E6E6E6"/>
                </w:tcPr>
                <w:p w:rsidR="00DD3CB0" w:rsidRPr="00C5066F" w:rsidRDefault="00DD3CB0" w:rsidP="00876A37">
                  <w:pPr>
                    <w:spacing w:after="120"/>
                  </w:pPr>
                  <w:r w:rsidRPr="00C5066F">
                    <w:t>3. Transition and implementation risk</w:t>
                  </w:r>
                </w:p>
              </w:tc>
              <w:tc>
                <w:tcPr>
                  <w:tcW w:w="1134" w:type="dxa"/>
                  <w:shd w:val="clear" w:color="auto" w:fill="E6E6E6"/>
                </w:tcPr>
                <w:p w:rsidR="00DD3CB0" w:rsidRPr="00C5066F" w:rsidRDefault="00DD3CB0" w:rsidP="00876A37">
                  <w:pPr>
                    <w:spacing w:after="120"/>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DD3CB0">
                  <w:pPr>
                    <w:numPr>
                      <w:ilvl w:val="0"/>
                      <w:numId w:val="2"/>
                    </w:numPr>
                  </w:pPr>
                </w:p>
              </w:tc>
            </w:tr>
            <w:tr w:rsidR="00DD3CB0" w:rsidRPr="00C5066F" w:rsidTr="00876A37">
              <w:tc>
                <w:tcPr>
                  <w:tcW w:w="5812" w:type="dxa"/>
                  <w:shd w:val="clear" w:color="auto" w:fill="E6E6E6"/>
                </w:tcPr>
                <w:p w:rsidR="00DD3CB0" w:rsidRPr="00C5066F" w:rsidRDefault="00DD3CB0" w:rsidP="00876A37">
                  <w:pPr>
                    <w:spacing w:after="120"/>
                  </w:pPr>
                  <w:r w:rsidRPr="00C5066F">
                    <w:t>4. Availability and performance risk</w:t>
                  </w:r>
                </w:p>
              </w:tc>
              <w:tc>
                <w:tcPr>
                  <w:tcW w:w="1134" w:type="dxa"/>
                  <w:shd w:val="clear" w:color="auto" w:fill="E6E6E6"/>
                </w:tcPr>
                <w:p w:rsidR="00DD3CB0" w:rsidRPr="00C5066F" w:rsidRDefault="00DD3CB0" w:rsidP="00876A37">
                  <w:pPr>
                    <w:spacing w:after="120"/>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DD3CB0">
                  <w:pPr>
                    <w:numPr>
                      <w:ilvl w:val="0"/>
                      <w:numId w:val="2"/>
                    </w:numPr>
                  </w:pPr>
                </w:p>
              </w:tc>
            </w:tr>
            <w:tr w:rsidR="00DD3CB0" w:rsidRPr="00C5066F" w:rsidTr="00876A37">
              <w:tc>
                <w:tcPr>
                  <w:tcW w:w="5812" w:type="dxa"/>
                  <w:shd w:val="clear" w:color="auto" w:fill="E6E6E6"/>
                </w:tcPr>
                <w:p w:rsidR="00DD3CB0" w:rsidRPr="00C5066F" w:rsidRDefault="00DD3CB0" w:rsidP="00876A37">
                  <w:pPr>
                    <w:spacing w:after="120"/>
                  </w:pPr>
                  <w:r w:rsidRPr="00C5066F">
                    <w:t>5. Operating risk</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6. Variability of revenue risks</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7. Termination risks</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 xml:space="preserve">8. Technology and obsolescence risks </w:t>
                  </w:r>
                </w:p>
              </w:tc>
              <w:tc>
                <w:tcPr>
                  <w:tcW w:w="1134" w:type="dxa"/>
                  <w:shd w:val="clear" w:color="auto" w:fill="E6E6E6"/>
                </w:tcPr>
                <w:p w:rsidR="00DD3CB0" w:rsidRPr="00C5066F" w:rsidRDefault="00DD3CB0" w:rsidP="00876A37">
                  <w:pPr>
                    <w:spacing w:after="120"/>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DD3CB0">
                  <w:pPr>
                    <w:numPr>
                      <w:ilvl w:val="0"/>
                      <w:numId w:val="2"/>
                    </w:numPr>
                  </w:pPr>
                </w:p>
              </w:tc>
            </w:tr>
            <w:tr w:rsidR="00DD3CB0" w:rsidRPr="00C5066F" w:rsidTr="00876A37">
              <w:tc>
                <w:tcPr>
                  <w:tcW w:w="5812" w:type="dxa"/>
                  <w:shd w:val="clear" w:color="auto" w:fill="E6E6E6"/>
                </w:tcPr>
                <w:p w:rsidR="00DD3CB0" w:rsidRPr="00C5066F" w:rsidRDefault="00DD3CB0" w:rsidP="00876A37">
                  <w:pPr>
                    <w:spacing w:after="120"/>
                  </w:pPr>
                  <w:r w:rsidRPr="00C5066F">
                    <w:t>9. Control risks</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10. Residual value risks</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11. Financing risks – D&amp;B</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12. Legislative risks – D&amp;B</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r w:rsidR="00DD3CB0" w:rsidRPr="00C5066F" w:rsidTr="00876A37">
              <w:tc>
                <w:tcPr>
                  <w:tcW w:w="5812" w:type="dxa"/>
                  <w:shd w:val="clear" w:color="auto" w:fill="E6E6E6"/>
                </w:tcPr>
                <w:p w:rsidR="00DD3CB0" w:rsidRPr="00C5066F" w:rsidRDefault="00DD3CB0" w:rsidP="00876A37">
                  <w:pPr>
                    <w:spacing w:after="120"/>
                  </w:pPr>
                  <w:r w:rsidRPr="00C5066F">
                    <w:t>13. Other project risks</w:t>
                  </w:r>
                </w:p>
              </w:tc>
              <w:tc>
                <w:tcPr>
                  <w:tcW w:w="1134" w:type="dxa"/>
                  <w:shd w:val="clear" w:color="auto" w:fill="E6E6E6"/>
                </w:tcPr>
                <w:p w:rsidR="00DD3CB0" w:rsidRPr="00C5066F" w:rsidRDefault="00DD3CB0" w:rsidP="00DD3CB0">
                  <w:pPr>
                    <w:numPr>
                      <w:ilvl w:val="0"/>
                      <w:numId w:val="2"/>
                    </w:numPr>
                  </w:pPr>
                </w:p>
              </w:tc>
              <w:tc>
                <w:tcPr>
                  <w:tcW w:w="1276" w:type="dxa"/>
                  <w:shd w:val="clear" w:color="auto" w:fill="E6E6E6"/>
                </w:tcPr>
                <w:p w:rsidR="00DD3CB0" w:rsidRPr="00C5066F" w:rsidRDefault="00DD3CB0" w:rsidP="00876A37">
                  <w:pPr>
                    <w:spacing w:after="120"/>
                  </w:pPr>
                </w:p>
              </w:tc>
              <w:tc>
                <w:tcPr>
                  <w:tcW w:w="1134" w:type="dxa"/>
                  <w:shd w:val="clear" w:color="auto" w:fill="E6E6E6"/>
                </w:tcPr>
                <w:p w:rsidR="00DD3CB0" w:rsidRPr="00C5066F" w:rsidRDefault="00DD3CB0" w:rsidP="00876A37">
                  <w:pPr>
                    <w:spacing w:after="120"/>
                  </w:pPr>
                </w:p>
              </w:tc>
            </w:tr>
          </w:tbl>
          <w:p w:rsidR="00DD3CB0" w:rsidRPr="00C5066F" w:rsidRDefault="00DD3CB0" w:rsidP="00876A37"/>
          <w:p w:rsidR="00DD3CB0" w:rsidRPr="00C5066F" w:rsidRDefault="00DD3CB0" w:rsidP="00876A37">
            <w:pPr>
              <w:pStyle w:val="BodyText"/>
              <w:rPr>
                <w:rFonts w:ascii="Arial" w:hAnsi="Arial" w:cs="Arial"/>
              </w:rPr>
            </w:pPr>
            <w:r w:rsidRPr="00C5066F">
              <w:rPr>
                <w:rFonts w:ascii="Arial" w:hAnsi="Arial" w:cs="Arial"/>
              </w:rPr>
              <w:t xml:space="preserve">At this stage details of the procurement route should set out, whether the project will be procured via a regional framework such as </w:t>
            </w:r>
            <w:r w:rsidRPr="00C5066F">
              <w:rPr>
                <w:rFonts w:ascii="Arial" w:hAnsi="Arial" w:cs="Arial"/>
                <w:lang w:eastAsia="en-GB"/>
              </w:rPr>
              <w:t>SEWSCAP, South West Wales Regional</w:t>
            </w:r>
            <w:r w:rsidR="00D5576F">
              <w:rPr>
                <w:rFonts w:ascii="Arial" w:hAnsi="Arial" w:cs="Arial"/>
                <w:lang w:eastAsia="en-GB"/>
              </w:rPr>
              <w:t xml:space="preserve"> Contractor Framework (SWWRCF) </w:t>
            </w:r>
            <w:r w:rsidRPr="00C5066F">
              <w:rPr>
                <w:rFonts w:ascii="Arial" w:hAnsi="Arial" w:cs="Arial"/>
                <w:lang w:eastAsia="en-GB"/>
              </w:rPr>
              <w:t xml:space="preserve">or </w:t>
            </w:r>
            <w:hyperlink r:id="rId7" w:tooltip="Permalink to North Wales Schools and Public Buildings Contractor Framework" w:history="1">
              <w:r w:rsidRPr="00C5066F">
                <w:rPr>
                  <w:rFonts w:ascii="Arial" w:hAnsi="Arial" w:cs="Arial"/>
                  <w:lang w:eastAsia="en-GB"/>
                </w:rPr>
                <w:t>North Wales Schools and Public Buildings Contractor Framework</w:t>
              </w:r>
            </w:hyperlink>
            <w:r w:rsidRPr="00C5066F">
              <w:rPr>
                <w:rFonts w:ascii="Arial" w:hAnsi="Arial" w:cs="Arial"/>
              </w:rPr>
              <w:t xml:space="preserve"> or via a separate OJEU tender process.</w:t>
            </w:r>
          </w:p>
          <w:p w:rsidR="00DD3CB0" w:rsidRPr="00C5066F" w:rsidRDefault="00DD3CB0" w:rsidP="00876A37">
            <w:pPr>
              <w:pStyle w:val="BodyText"/>
              <w:rPr>
                <w:rFonts w:ascii="Arial" w:hAnsi="Arial" w:cs="Arial"/>
              </w:rPr>
            </w:pPr>
            <w:r w:rsidRPr="00C5066F">
              <w:rPr>
                <w:rFonts w:ascii="Arial" w:hAnsi="Arial" w:cs="Arial"/>
              </w:rPr>
              <w:t xml:space="preserve">If an OJEU process is followed then confirmation of the following will be required, </w:t>
            </w:r>
          </w:p>
          <w:p w:rsidR="00DD3CB0" w:rsidRPr="00C5066F" w:rsidRDefault="00DD3CB0" w:rsidP="00DD3CB0">
            <w:pPr>
              <w:pStyle w:val="BodyText"/>
              <w:numPr>
                <w:ilvl w:val="0"/>
                <w:numId w:val="6"/>
              </w:numPr>
              <w:rPr>
                <w:rFonts w:ascii="Arial" w:hAnsi="Arial" w:cs="Arial"/>
              </w:rPr>
            </w:pPr>
            <w:r w:rsidRPr="00C5066F">
              <w:rPr>
                <w:rFonts w:ascii="Arial" w:hAnsi="Arial" w:cs="Arial"/>
              </w:rPr>
              <w:t xml:space="preserve">The contract will be advertised via sell2wales, </w:t>
            </w:r>
          </w:p>
          <w:p w:rsidR="00DD3CB0" w:rsidRPr="00C5066F" w:rsidRDefault="00DD3CB0" w:rsidP="00DD3CB0">
            <w:pPr>
              <w:pStyle w:val="BodyText"/>
              <w:numPr>
                <w:ilvl w:val="0"/>
                <w:numId w:val="6"/>
              </w:numPr>
              <w:rPr>
                <w:rFonts w:ascii="Arial" w:hAnsi="Arial" w:cs="Arial"/>
              </w:rPr>
            </w:pPr>
            <w:r w:rsidRPr="00C5066F">
              <w:rPr>
                <w:rFonts w:ascii="Arial" w:hAnsi="Arial" w:cs="Arial"/>
              </w:rPr>
              <w:t>The Supplier Qualification Information Database (</w:t>
            </w:r>
            <w:proofErr w:type="spellStart"/>
            <w:r w:rsidRPr="00C5066F">
              <w:rPr>
                <w:rFonts w:ascii="Arial" w:hAnsi="Arial" w:cs="Arial"/>
              </w:rPr>
              <w:t>SQuID</w:t>
            </w:r>
            <w:proofErr w:type="spellEnd"/>
            <w:r w:rsidRPr="00C5066F">
              <w:rPr>
                <w:rFonts w:ascii="Arial" w:hAnsi="Arial" w:cs="Arial"/>
              </w:rPr>
              <w:t>) questions will be used in the supplier selection stage pre-qualification questionnaire</w:t>
            </w:r>
          </w:p>
          <w:p w:rsidR="00DD3CB0" w:rsidRPr="00C5066F" w:rsidRDefault="00DD3CB0" w:rsidP="00DD3CB0">
            <w:pPr>
              <w:pStyle w:val="BodyText"/>
              <w:numPr>
                <w:ilvl w:val="0"/>
                <w:numId w:val="6"/>
              </w:numPr>
              <w:rPr>
                <w:rFonts w:ascii="Arial" w:hAnsi="Arial" w:cs="Arial"/>
              </w:rPr>
            </w:pPr>
            <w:r w:rsidRPr="00C5066F">
              <w:rPr>
                <w:rFonts w:ascii="Arial" w:hAnsi="Arial" w:cs="Arial"/>
              </w:rPr>
              <w:t>Supply chain opportunities will be advertised via Sell2Wales and be open to Wales based suppliers, including  how clients will promote sub-contract supply of Welsh or UK supplied steel on projects were steel is a major component.</w:t>
            </w:r>
          </w:p>
          <w:p w:rsidR="00DD3CB0" w:rsidRPr="00C5066F" w:rsidRDefault="00DD3CB0" w:rsidP="00876A37">
            <w:pPr>
              <w:pStyle w:val="BodyText"/>
              <w:rPr>
                <w:rFonts w:ascii="Arial" w:hAnsi="Arial" w:cs="Arial"/>
              </w:rPr>
            </w:pPr>
            <w:r w:rsidRPr="00C5066F">
              <w:rPr>
                <w:rFonts w:ascii="Arial" w:hAnsi="Arial" w:cs="Arial"/>
              </w:rPr>
              <w:t>At this stage information should include:</w:t>
            </w:r>
          </w:p>
          <w:p w:rsidR="00DD3CB0" w:rsidRPr="00C5066F" w:rsidRDefault="00DD3CB0" w:rsidP="00DD3CB0">
            <w:pPr>
              <w:pStyle w:val="BodyText"/>
              <w:numPr>
                <w:ilvl w:val="0"/>
                <w:numId w:val="5"/>
              </w:numPr>
              <w:rPr>
                <w:rFonts w:ascii="Arial" w:hAnsi="Arial" w:cs="Arial"/>
              </w:rPr>
            </w:pPr>
            <w:r w:rsidRPr="00C5066F">
              <w:rPr>
                <w:rFonts w:ascii="Arial" w:hAnsi="Arial" w:cs="Arial"/>
              </w:rPr>
              <w:t>Results of market testing – potential bidders appropriate</w:t>
            </w:r>
          </w:p>
          <w:p w:rsidR="00DD3CB0" w:rsidRPr="00C5066F" w:rsidRDefault="00DD3CB0" w:rsidP="00DD3CB0">
            <w:pPr>
              <w:pStyle w:val="BodyText"/>
              <w:numPr>
                <w:ilvl w:val="0"/>
                <w:numId w:val="5"/>
              </w:numPr>
              <w:rPr>
                <w:rFonts w:ascii="Arial" w:hAnsi="Arial" w:cs="Arial"/>
              </w:rPr>
            </w:pPr>
            <w:r w:rsidRPr="00C5066F">
              <w:rPr>
                <w:rFonts w:ascii="Arial" w:hAnsi="Arial" w:cs="Arial"/>
              </w:rPr>
              <w:lastRenderedPageBreak/>
              <w:t>Procurement plan – including timescales</w:t>
            </w:r>
          </w:p>
          <w:p w:rsidR="00DD3CB0" w:rsidRPr="00C5066F" w:rsidRDefault="00DD3CB0" w:rsidP="00DD3CB0">
            <w:pPr>
              <w:pStyle w:val="BodyText"/>
              <w:numPr>
                <w:ilvl w:val="0"/>
                <w:numId w:val="5"/>
              </w:numPr>
              <w:rPr>
                <w:rFonts w:ascii="Arial" w:hAnsi="Arial" w:cs="Arial"/>
              </w:rPr>
            </w:pPr>
            <w:r w:rsidRPr="00C5066F">
              <w:rPr>
                <w:rFonts w:ascii="Arial" w:hAnsi="Arial" w:cs="Arial"/>
              </w:rPr>
              <w:t>Intention to use sell2wales for advertising contracts</w:t>
            </w:r>
          </w:p>
          <w:p w:rsidR="00DD3CB0" w:rsidRPr="00C5066F" w:rsidRDefault="00DD3CB0" w:rsidP="00DD3CB0">
            <w:pPr>
              <w:pStyle w:val="BodyText"/>
              <w:numPr>
                <w:ilvl w:val="0"/>
                <w:numId w:val="5"/>
              </w:numPr>
              <w:rPr>
                <w:rFonts w:ascii="Arial" w:hAnsi="Arial" w:cs="Arial"/>
              </w:rPr>
            </w:pPr>
            <w:r w:rsidRPr="00C5066F">
              <w:rPr>
                <w:rFonts w:ascii="Arial" w:hAnsi="Arial" w:cs="Arial"/>
              </w:rPr>
              <w:t>Alignment with Welsh procurement policy &amp; WPPS</w:t>
            </w:r>
          </w:p>
          <w:p w:rsidR="00DD3CB0" w:rsidRPr="00C5066F" w:rsidRDefault="00DD3CB0" w:rsidP="00DD3CB0">
            <w:pPr>
              <w:pStyle w:val="BodyText"/>
              <w:numPr>
                <w:ilvl w:val="0"/>
                <w:numId w:val="5"/>
              </w:numPr>
              <w:rPr>
                <w:rFonts w:ascii="Arial" w:hAnsi="Arial" w:cs="Arial"/>
              </w:rPr>
            </w:pPr>
            <w:r w:rsidRPr="00C5066F">
              <w:rPr>
                <w:rFonts w:ascii="Arial" w:hAnsi="Arial" w:cs="Arial"/>
              </w:rPr>
              <w:t xml:space="preserve">Pre-qualification – confirm use of </w:t>
            </w:r>
            <w:proofErr w:type="spellStart"/>
            <w:r w:rsidRPr="00C5066F">
              <w:rPr>
                <w:rFonts w:ascii="Arial" w:hAnsi="Arial" w:cs="Arial"/>
              </w:rPr>
              <w:t>SQuID</w:t>
            </w:r>
            <w:proofErr w:type="spellEnd"/>
            <w:r w:rsidRPr="00C5066F">
              <w:rPr>
                <w:rFonts w:ascii="Arial" w:hAnsi="Arial" w:cs="Arial"/>
              </w:rPr>
              <w:t xml:space="preserve"> (if required)</w:t>
            </w:r>
          </w:p>
          <w:p w:rsidR="00DD3CB0" w:rsidRPr="00C5066F" w:rsidRDefault="00DD3CB0" w:rsidP="00DD3CB0">
            <w:pPr>
              <w:pStyle w:val="BodyText"/>
              <w:numPr>
                <w:ilvl w:val="0"/>
                <w:numId w:val="5"/>
              </w:numPr>
              <w:rPr>
                <w:rFonts w:ascii="Arial" w:hAnsi="Arial" w:cs="Arial"/>
              </w:rPr>
            </w:pPr>
            <w:r w:rsidRPr="00C5066F">
              <w:rPr>
                <w:rFonts w:ascii="Arial" w:hAnsi="Arial" w:cs="Arial"/>
              </w:rPr>
              <w:t>Development of project documents and specification</w:t>
            </w:r>
          </w:p>
          <w:p w:rsidR="00DD3CB0" w:rsidRPr="00C5066F" w:rsidRDefault="00DD3CB0" w:rsidP="00DD3CB0">
            <w:pPr>
              <w:pStyle w:val="BodyText"/>
              <w:numPr>
                <w:ilvl w:val="0"/>
                <w:numId w:val="5"/>
              </w:numPr>
              <w:rPr>
                <w:rFonts w:ascii="Arial" w:hAnsi="Arial" w:cs="Arial"/>
              </w:rPr>
            </w:pPr>
            <w:r w:rsidRPr="00C5066F">
              <w:rPr>
                <w:rFonts w:ascii="Arial" w:hAnsi="Arial" w:cs="Arial"/>
              </w:rPr>
              <w:t>Community Benefits plan</w:t>
            </w:r>
          </w:p>
          <w:p w:rsidR="00DD3CB0" w:rsidRPr="00C5066F" w:rsidRDefault="00DD3CB0" w:rsidP="00DD3CB0">
            <w:pPr>
              <w:pStyle w:val="BodyText"/>
              <w:numPr>
                <w:ilvl w:val="0"/>
                <w:numId w:val="5"/>
              </w:numPr>
              <w:rPr>
                <w:rFonts w:ascii="Arial" w:hAnsi="Arial" w:cs="Arial"/>
              </w:rPr>
            </w:pPr>
            <w:r w:rsidRPr="00C5066F">
              <w:rPr>
                <w:rFonts w:ascii="Arial" w:hAnsi="Arial" w:cs="Arial"/>
              </w:rPr>
              <w:t>Evaluation and award criteria</w:t>
            </w:r>
          </w:p>
          <w:p w:rsidR="00DD3CB0" w:rsidRPr="00C5066F" w:rsidRDefault="00DD3CB0" w:rsidP="00DD3CB0">
            <w:pPr>
              <w:pStyle w:val="BodyText"/>
              <w:numPr>
                <w:ilvl w:val="0"/>
                <w:numId w:val="5"/>
              </w:numPr>
              <w:rPr>
                <w:rFonts w:ascii="Arial" w:hAnsi="Arial" w:cs="Arial"/>
              </w:rPr>
            </w:pPr>
            <w:r w:rsidRPr="00C5066F">
              <w:rPr>
                <w:rFonts w:ascii="Arial" w:hAnsi="Arial" w:cs="Arial"/>
              </w:rPr>
              <w:t>Payment provisions</w:t>
            </w:r>
          </w:p>
          <w:p w:rsidR="00DD3CB0" w:rsidRPr="00C5066F" w:rsidRDefault="00DD3CB0" w:rsidP="00DD3CB0">
            <w:pPr>
              <w:pStyle w:val="BodyText"/>
              <w:numPr>
                <w:ilvl w:val="0"/>
                <w:numId w:val="5"/>
              </w:numPr>
              <w:rPr>
                <w:rFonts w:ascii="Arial" w:hAnsi="Arial" w:cs="Arial"/>
              </w:rPr>
            </w:pPr>
            <w:r w:rsidRPr="00C5066F">
              <w:rPr>
                <w:rFonts w:ascii="Arial" w:hAnsi="Arial" w:cs="Arial"/>
              </w:rPr>
              <w:t>Steel Requirements - If there are steel requirements for the construction element of the build, please provide details of the components and an estimate of usage in tonnes.</w:t>
            </w:r>
            <w:r w:rsidRPr="00C5066F" w:rsidDel="005F10E8">
              <w:rPr>
                <w:rFonts w:ascii="Arial" w:hAnsi="Arial" w:cs="Arial"/>
              </w:rPr>
              <w:t xml:space="preserve"> </w:t>
            </w:r>
          </w:p>
          <w:p w:rsidR="00DD3CB0" w:rsidRPr="00C5066F" w:rsidRDefault="00DD3CB0" w:rsidP="00876A37">
            <w:pPr>
              <w:pStyle w:val="BodyText"/>
              <w:rPr>
                <w:rFonts w:ascii="Arial" w:hAnsi="Arial" w:cs="Arial"/>
              </w:rPr>
            </w:pPr>
            <w:r w:rsidRPr="00C5066F">
              <w:rPr>
                <w:rFonts w:ascii="Arial" w:hAnsi="Arial" w:cs="Arial"/>
              </w:rPr>
              <w:t>Full details of the community benefits to be included in the tender process should be provided, including:</w:t>
            </w:r>
          </w:p>
          <w:p w:rsidR="00DD3CB0" w:rsidRPr="00C5066F" w:rsidRDefault="00DD3CB0" w:rsidP="00DD3CB0">
            <w:pPr>
              <w:pStyle w:val="BodyText"/>
              <w:numPr>
                <w:ilvl w:val="0"/>
                <w:numId w:val="5"/>
              </w:numPr>
              <w:rPr>
                <w:rFonts w:ascii="Arial" w:hAnsi="Arial" w:cs="Arial"/>
              </w:rPr>
            </w:pPr>
            <w:r w:rsidRPr="00C5066F">
              <w:rPr>
                <w:rFonts w:ascii="Arial" w:hAnsi="Arial" w:cs="Arial"/>
              </w:rPr>
              <w:t xml:space="preserve">core/ non core or both to the contract; included in contract notice/ Prior Information Notice or framework; </w:t>
            </w:r>
          </w:p>
          <w:p w:rsidR="00DD3CB0" w:rsidRPr="00C5066F" w:rsidRDefault="00DD3CB0" w:rsidP="00DD3CB0">
            <w:pPr>
              <w:pStyle w:val="BodyText"/>
              <w:numPr>
                <w:ilvl w:val="0"/>
                <w:numId w:val="5"/>
              </w:numPr>
              <w:rPr>
                <w:rFonts w:ascii="Arial" w:hAnsi="Arial" w:cs="Arial"/>
              </w:rPr>
            </w:pPr>
            <w:r w:rsidRPr="00C5066F">
              <w:rPr>
                <w:rFonts w:ascii="Arial" w:hAnsi="Arial" w:cs="Arial"/>
              </w:rPr>
              <w:t xml:space="preserve">priorities that you are seeking to address; potential targets; </w:t>
            </w:r>
          </w:p>
          <w:p w:rsidR="00DD3CB0" w:rsidRPr="00C5066F" w:rsidRDefault="00DD3CB0" w:rsidP="00DD3CB0">
            <w:pPr>
              <w:pStyle w:val="BodyText"/>
              <w:numPr>
                <w:ilvl w:val="0"/>
                <w:numId w:val="5"/>
              </w:numPr>
              <w:rPr>
                <w:rFonts w:ascii="Arial" w:hAnsi="Arial" w:cs="Arial"/>
              </w:rPr>
            </w:pPr>
            <w:r w:rsidRPr="00C5066F">
              <w:rPr>
                <w:rFonts w:ascii="Arial" w:hAnsi="Arial" w:cs="Arial"/>
              </w:rPr>
              <w:t>process for managing the delivery of Community Benefits through the contract;</w:t>
            </w:r>
          </w:p>
          <w:p w:rsidR="00DD3CB0" w:rsidRPr="00C5066F" w:rsidRDefault="00DD3CB0" w:rsidP="00DD3CB0">
            <w:pPr>
              <w:pStyle w:val="BodyText"/>
              <w:numPr>
                <w:ilvl w:val="0"/>
                <w:numId w:val="5"/>
              </w:numPr>
              <w:rPr>
                <w:rFonts w:ascii="Arial" w:hAnsi="Arial" w:cs="Arial"/>
              </w:rPr>
            </w:pPr>
            <w:r w:rsidRPr="00C5066F">
              <w:rPr>
                <w:rFonts w:ascii="Arial" w:hAnsi="Arial" w:cs="Arial"/>
              </w:rPr>
              <w:t>confirmation contractors will be required to complete the community benefit measurement tool for the project.</w:t>
            </w:r>
          </w:p>
          <w:p w:rsidR="00DD3CB0" w:rsidRPr="00C5066F" w:rsidRDefault="00DD3CB0" w:rsidP="00876A37">
            <w:pPr>
              <w:spacing w:after="120"/>
            </w:pPr>
          </w:p>
        </w:tc>
      </w:tr>
    </w:tbl>
    <w:p w:rsidR="00DD3CB0" w:rsidRPr="00C5066F" w:rsidRDefault="00DD3CB0" w:rsidP="00DD3CB0"/>
    <w:p w:rsidR="00DD3CB0" w:rsidRPr="00C5066F" w:rsidRDefault="00DD3CB0" w:rsidP="00DD3CB0">
      <w:pPr>
        <w:rPr>
          <w:b/>
          <w:sz w:val="28"/>
          <w:szCs w:val="28"/>
          <w:lang w:eastAsia="en-GB"/>
        </w:rPr>
      </w:pPr>
      <w:r w:rsidRPr="00C5066F">
        <w:rPr>
          <w:b/>
          <w:sz w:val="28"/>
          <w:szCs w:val="28"/>
          <w:lang w:eastAsia="en-GB"/>
        </w:rPr>
        <w:t>Financial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CB0" w:rsidRPr="00C5066F" w:rsidTr="00876A37">
        <w:tc>
          <w:tcPr>
            <w:tcW w:w="9606" w:type="dxa"/>
            <w:shd w:val="clear" w:color="auto" w:fill="auto"/>
          </w:tcPr>
          <w:p w:rsidR="00DD3CB0" w:rsidRPr="00C5066F" w:rsidRDefault="00DD3CB0" w:rsidP="00876A37">
            <w:pPr>
              <w:rPr>
                <w:b/>
              </w:rPr>
            </w:pPr>
            <w:r w:rsidRPr="00C5066F">
              <w:rPr>
                <w:b/>
              </w:rPr>
              <w:t>1000 Words Maximum</w:t>
            </w:r>
          </w:p>
          <w:p w:rsidR="00DD3CB0" w:rsidRPr="00C5066F" w:rsidRDefault="00DD3CB0" w:rsidP="00876A37">
            <w:pPr>
              <w:rPr>
                <w:b/>
              </w:rPr>
            </w:pPr>
          </w:p>
          <w:p w:rsidR="00DD3CB0" w:rsidRPr="00C5066F" w:rsidRDefault="00DD3CB0" w:rsidP="00876A37">
            <w:pPr>
              <w:spacing w:after="120"/>
            </w:pPr>
            <w:r w:rsidRPr="00C5066F">
              <w:t>The purpose of this section is to set out the forecast financial implications of the preferred option (as set out in the economic case section) and the proposed deal (as described in the commercial case).</w:t>
            </w:r>
          </w:p>
          <w:p w:rsidR="00DD3CB0" w:rsidRPr="00C5066F" w:rsidRDefault="00DD3CB0" w:rsidP="00876A37">
            <w:pPr>
              <w:spacing w:after="120"/>
            </w:pPr>
            <w:r w:rsidRPr="00C5066F">
              <w:t>As the Welsh Government is paying for 50% of the project, it is important that we are confident that the remaining 50% of the project is affordable.</w:t>
            </w:r>
          </w:p>
          <w:p w:rsidR="00DD3CB0" w:rsidRDefault="00DD3CB0" w:rsidP="00876A37">
            <w:pPr>
              <w:spacing w:after="120"/>
            </w:pPr>
            <w:r w:rsidRPr="00C5066F">
              <w:t>At this point in the project development, it should be possible to identify the sources of match funding and confirm that these are signed up to by the relevant parties in the local authority / Further Education Institution.</w:t>
            </w:r>
          </w:p>
          <w:p w:rsidR="00D5576F" w:rsidRPr="00C5066F" w:rsidRDefault="00D5576F" w:rsidP="00876A37">
            <w:pPr>
              <w:spacing w:after="120"/>
            </w:pPr>
          </w:p>
        </w:tc>
      </w:tr>
    </w:tbl>
    <w:p w:rsidR="00DD3CB0" w:rsidRDefault="00DD3CB0" w:rsidP="00DD3CB0">
      <w:pPr>
        <w:rPr>
          <w:b/>
          <w:sz w:val="28"/>
          <w:szCs w:val="28"/>
          <w:lang w:eastAsia="en-GB"/>
        </w:rPr>
      </w:pPr>
    </w:p>
    <w:p w:rsidR="00DD3CB0" w:rsidRPr="00C5066F" w:rsidRDefault="00DD3CB0" w:rsidP="00DD3CB0">
      <w:pPr>
        <w:rPr>
          <w:b/>
          <w:sz w:val="28"/>
          <w:szCs w:val="28"/>
          <w:lang w:eastAsia="en-GB"/>
        </w:rPr>
      </w:pPr>
      <w:r w:rsidRPr="00C5066F">
        <w:rPr>
          <w:b/>
          <w:sz w:val="28"/>
          <w:szCs w:val="28"/>
          <w:lang w:eastAsia="en-GB"/>
        </w:rPr>
        <w:t>Management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CB0" w:rsidRPr="00C5066F" w:rsidTr="00876A37">
        <w:tc>
          <w:tcPr>
            <w:tcW w:w="9606" w:type="dxa"/>
            <w:shd w:val="clear" w:color="auto" w:fill="auto"/>
          </w:tcPr>
          <w:p w:rsidR="00DD3CB0" w:rsidRPr="00C5066F" w:rsidRDefault="00DD3CB0" w:rsidP="00876A37">
            <w:pPr>
              <w:rPr>
                <w:b/>
              </w:rPr>
            </w:pPr>
            <w:r w:rsidRPr="00C5066F">
              <w:rPr>
                <w:b/>
              </w:rPr>
              <w:t>1000 Words Maximum</w:t>
            </w:r>
          </w:p>
          <w:p w:rsidR="00DD3CB0" w:rsidRPr="00C5066F" w:rsidRDefault="00DD3CB0" w:rsidP="00876A37">
            <w:pPr>
              <w:rPr>
                <w:b/>
              </w:rPr>
            </w:pPr>
          </w:p>
          <w:p w:rsidR="00DD3CB0" w:rsidRPr="00C5066F" w:rsidRDefault="00DD3CB0" w:rsidP="00876A37">
            <w:r w:rsidRPr="00C5066F">
              <w:t xml:space="preserve">This section of the OBC addresses the ‘achievability’ of the scheme. Its purpose, therefore, is to build on the SOC by setting out in more detail the actions that will be </w:t>
            </w:r>
            <w:r w:rsidRPr="00C5066F">
              <w:lastRenderedPageBreak/>
              <w:t>required to ensure the successful delivery of the scheme in accordance with best practice.</w:t>
            </w:r>
          </w:p>
          <w:p w:rsidR="00DD3CB0" w:rsidRPr="00C5066F" w:rsidRDefault="00DD3CB0" w:rsidP="00876A37"/>
          <w:p w:rsidR="00DD3CB0" w:rsidRPr="00C5066F" w:rsidRDefault="00DD3CB0" w:rsidP="00876A37">
            <w:r w:rsidRPr="00C5066F">
              <w:t>This section should include confirmation that the project will be managed in accordance with PRINCE 2 methodology, details of the reporting organisation and structure for the project, details of project roles and responsibilities, and an overview of the project plan with milestones.</w:t>
            </w:r>
          </w:p>
          <w:p w:rsidR="00DD3CB0" w:rsidRPr="00C5066F" w:rsidRDefault="00DD3CB0" w:rsidP="00876A37"/>
          <w:p w:rsidR="00DD3CB0" w:rsidRPr="00C5066F" w:rsidRDefault="00DD3CB0" w:rsidP="00876A37">
            <w:r w:rsidRPr="00C5066F">
              <w:t>Also to consider and include:</w:t>
            </w:r>
          </w:p>
          <w:p w:rsidR="00DD3CB0" w:rsidRPr="00C5066F" w:rsidRDefault="00DD3CB0" w:rsidP="00876A37"/>
          <w:p w:rsidR="00DD3CB0" w:rsidRPr="00C5066F" w:rsidRDefault="00DD3CB0" w:rsidP="00DD3CB0">
            <w:pPr>
              <w:keepNext/>
              <w:numPr>
                <w:ilvl w:val="0"/>
                <w:numId w:val="10"/>
              </w:numPr>
              <w:outlineLvl w:val="2"/>
              <w:rPr>
                <w:bCs/>
              </w:rPr>
            </w:pPr>
            <w:r w:rsidRPr="00A131D1">
              <w:rPr>
                <w:bCs/>
              </w:rPr>
              <w:t>resourcing and governance.</w:t>
            </w:r>
          </w:p>
          <w:p w:rsidR="00DD3CB0" w:rsidRPr="00C5066F" w:rsidRDefault="00DD3CB0" w:rsidP="00DD3CB0">
            <w:pPr>
              <w:keepNext/>
              <w:numPr>
                <w:ilvl w:val="0"/>
                <w:numId w:val="10"/>
              </w:numPr>
              <w:outlineLvl w:val="2"/>
              <w:rPr>
                <w:bCs/>
              </w:rPr>
            </w:pPr>
            <w:r w:rsidRPr="00C5066F">
              <w:t>outline arrangements for management of the whole process e.g. contract management; benefits realisation, risk management and monitoring and evaluation.</w:t>
            </w:r>
          </w:p>
          <w:p w:rsidR="00DD3CB0" w:rsidRPr="00C5066F" w:rsidRDefault="00DD3CB0" w:rsidP="00DD3CB0">
            <w:pPr>
              <w:keepNext/>
              <w:numPr>
                <w:ilvl w:val="0"/>
                <w:numId w:val="10"/>
              </w:numPr>
              <w:outlineLvl w:val="2"/>
              <w:rPr>
                <w:bCs/>
              </w:rPr>
            </w:pPr>
            <w:r w:rsidRPr="00C5066F">
              <w:rPr>
                <w:lang w:eastAsia="en-GB"/>
              </w:rPr>
              <w:t>risk of delivery</w:t>
            </w:r>
          </w:p>
          <w:p w:rsidR="00DD3CB0" w:rsidRPr="00A131D1" w:rsidRDefault="00DD3CB0" w:rsidP="00DD3CB0">
            <w:pPr>
              <w:keepNext/>
              <w:numPr>
                <w:ilvl w:val="0"/>
                <w:numId w:val="10"/>
              </w:numPr>
              <w:outlineLvl w:val="2"/>
              <w:rPr>
                <w:bCs/>
              </w:rPr>
            </w:pPr>
            <w:r w:rsidRPr="00C5066F">
              <w:rPr>
                <w:lang w:eastAsia="en-GB"/>
              </w:rPr>
              <w:t>statutory consultations</w:t>
            </w:r>
          </w:p>
          <w:p w:rsidR="00DD3CB0" w:rsidRPr="00C5066F" w:rsidRDefault="00DD3CB0" w:rsidP="00876A37">
            <w:pPr>
              <w:rPr>
                <w:lang w:eastAsia="en-GB"/>
              </w:rPr>
            </w:pPr>
          </w:p>
          <w:p w:rsidR="00DD3CB0" w:rsidRPr="00C5066F" w:rsidRDefault="00DD3CB0" w:rsidP="00876A37">
            <w:pPr>
              <w:rPr>
                <w:lang w:eastAsia="en-GB"/>
              </w:rPr>
            </w:pPr>
            <w:r w:rsidRPr="00C5066F">
              <w:rPr>
                <w:lang w:eastAsia="en-GB"/>
              </w:rPr>
              <w:t>The Gateway Review Process should also be referenced, along with confirmation that any recommendations are actioned.</w:t>
            </w:r>
          </w:p>
          <w:p w:rsidR="00DD3CB0" w:rsidRPr="00C5066F" w:rsidRDefault="00DD3CB0" w:rsidP="00876A37"/>
        </w:tc>
      </w:tr>
    </w:tbl>
    <w:p w:rsidR="00DD3CB0" w:rsidRPr="00C5066F" w:rsidRDefault="00DD3CB0" w:rsidP="00DD3CB0"/>
    <w:p w:rsidR="00DD3CB0" w:rsidRPr="00C5066F" w:rsidRDefault="00DD3CB0" w:rsidP="00DD3CB0"/>
    <w:p w:rsidR="00DD3CB0" w:rsidRPr="00C5066F" w:rsidRDefault="00DD3CB0" w:rsidP="00DD3CB0">
      <w:pPr>
        <w:rPr>
          <w:b/>
          <w:lang w:eastAsia="en-GB"/>
        </w:rPr>
      </w:pPr>
    </w:p>
    <w:p w:rsidR="00DD3CB0" w:rsidRPr="00C5066F" w:rsidRDefault="00DD3CB0" w:rsidP="00DD3CB0">
      <w:pPr>
        <w:rPr>
          <w:b/>
          <w:lang w:eastAsia="en-GB"/>
        </w:rPr>
      </w:pPr>
      <w:r w:rsidRPr="00C5066F">
        <w:rPr>
          <w:b/>
          <w:lang w:eastAsia="en-GB"/>
        </w:rPr>
        <w:t>Signed………………………………………………………………………………</w:t>
      </w:r>
      <w:r w:rsidR="00D5576F">
        <w:rPr>
          <w:b/>
          <w:lang w:eastAsia="en-GB"/>
        </w:rPr>
        <w:t>…………</w:t>
      </w:r>
    </w:p>
    <w:p w:rsidR="00DD3CB0" w:rsidRPr="00C5066F" w:rsidRDefault="00DD3CB0" w:rsidP="00DD3CB0">
      <w:pPr>
        <w:rPr>
          <w:b/>
          <w:lang w:eastAsia="en-GB"/>
        </w:rPr>
      </w:pPr>
    </w:p>
    <w:p w:rsidR="00DD3CB0" w:rsidRPr="00C5066F" w:rsidRDefault="00DD3CB0" w:rsidP="00DD3CB0">
      <w:pPr>
        <w:rPr>
          <w:b/>
          <w:lang w:eastAsia="en-GB"/>
        </w:rPr>
      </w:pPr>
      <w:r w:rsidRPr="00C5066F">
        <w:rPr>
          <w:b/>
          <w:lang w:eastAsia="en-GB"/>
        </w:rPr>
        <w:t>Printed……………………………………………………………………………</w:t>
      </w:r>
      <w:r w:rsidR="00D5576F">
        <w:rPr>
          <w:b/>
          <w:lang w:eastAsia="en-GB"/>
        </w:rPr>
        <w:t>…………..</w:t>
      </w:r>
    </w:p>
    <w:p w:rsidR="00DD3CB0" w:rsidRPr="00C5066F" w:rsidRDefault="00DD3CB0" w:rsidP="00DD3CB0">
      <w:pPr>
        <w:rPr>
          <w:b/>
          <w:lang w:eastAsia="en-GB"/>
        </w:rPr>
      </w:pPr>
    </w:p>
    <w:p w:rsidR="00DD3CB0" w:rsidRPr="00C5066F" w:rsidRDefault="00DD3CB0" w:rsidP="00DD3CB0">
      <w:pPr>
        <w:rPr>
          <w:b/>
          <w:lang w:eastAsia="en-GB"/>
        </w:rPr>
      </w:pPr>
      <w:r w:rsidRPr="00C5066F">
        <w:rPr>
          <w:b/>
          <w:lang w:eastAsia="en-GB"/>
        </w:rPr>
        <w:t>Position in the organisation……………………………………………</w:t>
      </w:r>
      <w:r>
        <w:rPr>
          <w:b/>
          <w:lang w:eastAsia="en-GB"/>
        </w:rPr>
        <w:t>…………..</w:t>
      </w:r>
      <w:r w:rsidRPr="00C5066F">
        <w:rPr>
          <w:b/>
          <w:lang w:eastAsia="en-GB"/>
        </w:rPr>
        <w:t>…………</w:t>
      </w:r>
      <w:r w:rsidR="00D5576F">
        <w:rPr>
          <w:b/>
          <w:lang w:eastAsia="en-GB"/>
        </w:rPr>
        <w:t>……………..</w:t>
      </w:r>
    </w:p>
    <w:p w:rsidR="00DD3CB0" w:rsidRPr="00C5066F" w:rsidRDefault="00DD3CB0" w:rsidP="00DD3CB0">
      <w:pPr>
        <w:rPr>
          <w:b/>
          <w:lang w:eastAsia="en-GB"/>
        </w:rPr>
      </w:pPr>
    </w:p>
    <w:p w:rsidR="00DD3CB0" w:rsidRPr="00C5066F" w:rsidRDefault="00DD3CB0" w:rsidP="00DD3CB0">
      <w:pPr>
        <w:rPr>
          <w:b/>
          <w:lang w:eastAsia="en-GB"/>
        </w:rPr>
      </w:pPr>
      <w:r w:rsidRPr="00C5066F">
        <w:rPr>
          <w:b/>
          <w:lang w:eastAsia="en-GB"/>
        </w:rPr>
        <w:t>Date…………………………………………………………………………………</w:t>
      </w:r>
      <w:r w:rsidR="00D5576F">
        <w:rPr>
          <w:b/>
          <w:lang w:eastAsia="en-GB"/>
        </w:rPr>
        <w:t>…………</w:t>
      </w:r>
      <w:bookmarkStart w:id="22" w:name="_GoBack"/>
      <w:bookmarkEnd w:id="22"/>
    </w:p>
    <w:p w:rsidR="00DD3CB0" w:rsidRDefault="00DD3CB0" w:rsidP="00DD3CB0">
      <w:pPr>
        <w:ind w:left="567" w:hanging="567"/>
        <w:rPr>
          <w:color w:val="FF0000"/>
        </w:rPr>
      </w:pPr>
    </w:p>
    <w:p w:rsidR="00DD3CB0" w:rsidRDefault="00DD3CB0" w:rsidP="00DD3CB0">
      <w:pPr>
        <w:ind w:left="567" w:hanging="567"/>
        <w:rPr>
          <w:color w:val="FF0000"/>
        </w:rPr>
      </w:pPr>
    </w:p>
    <w:p w:rsidR="00DD3CB0" w:rsidRDefault="00DD3CB0" w:rsidP="00DD3CB0">
      <w:pPr>
        <w:ind w:left="567" w:hanging="567"/>
        <w:rPr>
          <w:color w:val="FF0000"/>
        </w:rPr>
      </w:pPr>
    </w:p>
    <w:p w:rsidR="00DD3CB0" w:rsidRDefault="00DD3CB0" w:rsidP="00DD3CB0">
      <w:pPr>
        <w:ind w:left="567" w:hanging="567"/>
        <w:rPr>
          <w:color w:val="FF0000"/>
        </w:rPr>
      </w:pPr>
    </w:p>
    <w:p w:rsidR="00870E20" w:rsidRDefault="00870E20"/>
    <w:sectPr w:rsidR="00870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AF6"/>
    <w:multiLevelType w:val="hybridMultilevel"/>
    <w:tmpl w:val="811480B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55392A"/>
    <w:multiLevelType w:val="hybridMultilevel"/>
    <w:tmpl w:val="A2EE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D0305"/>
    <w:multiLevelType w:val="hybridMultilevel"/>
    <w:tmpl w:val="0D003C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333654"/>
    <w:multiLevelType w:val="hybridMultilevel"/>
    <w:tmpl w:val="D8909B7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386B2330"/>
    <w:multiLevelType w:val="hybridMultilevel"/>
    <w:tmpl w:val="DC8A4B0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2FB6B58A">
      <w:start w:val="1000"/>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E2D0106"/>
    <w:multiLevelType w:val="hybridMultilevel"/>
    <w:tmpl w:val="02A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D51BD"/>
    <w:multiLevelType w:val="hybridMultilevel"/>
    <w:tmpl w:val="106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67600"/>
    <w:multiLevelType w:val="hybridMultilevel"/>
    <w:tmpl w:val="7482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C1885"/>
    <w:multiLevelType w:val="hybridMultilevel"/>
    <w:tmpl w:val="A1C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7355D2"/>
    <w:multiLevelType w:val="hybridMultilevel"/>
    <w:tmpl w:val="5FAA6F6E"/>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0"/>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B0"/>
    <w:rsid w:val="00870E20"/>
    <w:rsid w:val="00D5576F"/>
    <w:rsid w:val="00DD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D3CB0"/>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DD3CB0"/>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B0"/>
    <w:rPr>
      <w:rFonts w:ascii="Arial" w:eastAsiaTheme="minorEastAsia" w:hAnsi="Arial" w:cs="Arial"/>
      <w:b/>
      <w:sz w:val="32"/>
      <w:szCs w:val="32"/>
    </w:rPr>
  </w:style>
  <w:style w:type="paragraph" w:styleId="ListParagraph">
    <w:name w:val="List Paragraph"/>
    <w:basedOn w:val="Normal"/>
    <w:link w:val="ListParagraphChar"/>
    <w:uiPriority w:val="34"/>
    <w:rsid w:val="00DD3CB0"/>
    <w:pPr>
      <w:ind w:left="720"/>
      <w:contextualSpacing/>
    </w:pPr>
  </w:style>
  <w:style w:type="paragraph" w:styleId="BodyText">
    <w:name w:val="Body Text"/>
    <w:basedOn w:val="Normal"/>
    <w:link w:val="BodyTextChar"/>
    <w:rsid w:val="00DD3CB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D3CB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D3CB0"/>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D3CB0"/>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DD3CB0"/>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B0"/>
    <w:rPr>
      <w:rFonts w:ascii="Arial" w:eastAsiaTheme="minorEastAsia" w:hAnsi="Arial" w:cs="Arial"/>
      <w:b/>
      <w:sz w:val="32"/>
      <w:szCs w:val="32"/>
    </w:rPr>
  </w:style>
  <w:style w:type="paragraph" w:styleId="ListParagraph">
    <w:name w:val="List Paragraph"/>
    <w:basedOn w:val="Normal"/>
    <w:link w:val="ListParagraphChar"/>
    <w:uiPriority w:val="34"/>
    <w:rsid w:val="00DD3CB0"/>
    <w:pPr>
      <w:ind w:left="720"/>
      <w:contextualSpacing/>
    </w:pPr>
  </w:style>
  <w:style w:type="paragraph" w:styleId="BodyText">
    <w:name w:val="Body Text"/>
    <w:basedOn w:val="Normal"/>
    <w:link w:val="BodyTextChar"/>
    <w:rsid w:val="00DD3CB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D3CB0"/>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D3CB0"/>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www.government-online.net/north-wales-schools-and-public-buildings-contractor-framewor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government-online.net/north-wales-schools-and-public-buildings-contractor-framework/"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2010bab60e184b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A20673551</value>
    </field>
    <field name="Objective-Title">
      <value order="0">001. Business Case Guidance - Annex 05 - OBC template</value>
    </field>
    <field name="Objective-Description">
      <value order="0"/>
    </field>
    <field name="Objective-CreationStamp">
      <value order="0">2018-01-04T13:27:53Z</value>
    </field>
    <field name="Objective-IsApproved">
      <value order="0">false</value>
    </field>
    <field name="Objective-IsPublished">
      <value order="0">true</value>
    </field>
    <field name="Objective-DatePublished">
      <value order="0">2018-05-22T10:56:04Z</value>
    </field>
    <field name="Objective-ModificationStamp">
      <value order="0">2018-05-22T10:56:04Z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alue>
    </field>
    <field name="Objective-Parent">
      <value order="0">Business Case Guidance - document and annexes</value>
    </field>
    <field name="Objective-State">
      <value order="0">Published</value>
    </field>
    <field name="Objective-VersionId">
      <value order="0">vA44618034</value>
    </field>
    <field name="Objective-Version">
      <value order="0">3.0</value>
    </field>
    <field name="Objective-VersionNumber">
      <value order="0">4</value>
    </field>
    <field name="Objective-VersionComment">
      <value order="0"/>
    </field>
    <field name="Objective-FileNumber">
      <value order="0">qA1288432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EBB9F438</Template>
  <TotalTime>4</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Benedictis, Rachel (EPS - EBPG)</dc:creator>
  <cp:lastModifiedBy>De Benedictis, Rachel (EPS - EBPG)</cp:lastModifiedBy>
  <cp:revision>2</cp:revision>
  <dcterms:created xsi:type="dcterms:W3CDTF">2018-01-04T14:27:00Z</dcterms:created>
  <dcterms:modified xsi:type="dcterms:W3CDTF">2018-01-04T14:31:00Z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A20673551</vt:lpwstr>
  </property>
  <property fmtid="{D5CDD505-2E9C-101B-9397-08002B2CF9AE}" pid="4" name="Objective-Title">
    <vt:lpwstr>001. Business Case Guidance - Annex 05 - OBC template</vt:lpwstr>
  </property>
  <property fmtid="{D5CDD505-2E9C-101B-9397-08002B2CF9AE}" pid="5" name="Objective-Comment">
    <vt:lpwstr/>
  </property>
  <property fmtid="{D5CDD505-2E9C-101B-9397-08002B2CF9AE}" pid="6" name="Objective-CreationStamp">
    <vt:filetime>2018-01-04T13:27:53Z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2018-05-22T10:56:04Z</vt:filetime>
  </property>
  <property fmtid="{D5CDD505-2E9C-101B-9397-08002B2CF9AE}" pid="10" name="Objective-ModificationStamp">
    <vt:filetime>2018-05-22T10:56:04Z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t:lpwstr>
  </property>
  <property fmtid="{D5CDD505-2E9C-101B-9397-08002B2CF9AE}" pid="13" name="Objective-Parent">
    <vt:lpwstr>Business Case Guidance - document and annexes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qA1288432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vA44618034</vt:lpwstr>
  </property>
  <property fmtid="{D5CDD505-2E9C-101B-9397-08002B2CF9AE}" pid="28" name="Objective-Language">
    <vt:lpwstr>English (eng)</vt:lpwstr>
  </property>
  <property fmtid="{D5CDD505-2E9C-101B-9397-08002B2CF9AE}" pid="29" name="Objective-Date Acquired">
    <vt:filetime>2018-01-04T22:59:59Z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