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B2E7" w14:textId="07D9BBE9" w:rsidR="00D350FB" w:rsidRPr="00D350FB" w:rsidRDefault="00D350FB" w:rsidP="00B116C3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350FB">
        <w:rPr>
          <w:rFonts w:ascii="Arial" w:hAnsi="Arial" w:cs="Arial"/>
          <w:b/>
          <w:sz w:val="28"/>
          <w:szCs w:val="28"/>
        </w:rPr>
        <w:t>Annex 1</w:t>
      </w:r>
    </w:p>
    <w:p w14:paraId="4C5A055C" w14:textId="77777777" w:rsidR="00D350FB" w:rsidRDefault="00D350FB" w:rsidP="002D74A9">
      <w:pPr>
        <w:rPr>
          <w:highlight w:val="yellow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0A6554" w:rsidRPr="00A50354" w14:paraId="292EF724" w14:textId="77777777" w:rsidTr="00820931">
        <w:trPr>
          <w:trHeight w:val="3042"/>
        </w:trPr>
        <w:tc>
          <w:tcPr>
            <w:tcW w:w="2448" w:type="dxa"/>
            <w:shd w:val="clear" w:color="auto" w:fill="auto"/>
          </w:tcPr>
          <w:p w14:paraId="6EAEC364" w14:textId="348C76CF" w:rsidR="000A6554" w:rsidRPr="00D350FB" w:rsidRDefault="000A6554" w:rsidP="002D74A9">
            <w:pPr>
              <w:rPr>
                <w:rFonts w:ascii="Arial" w:hAnsi="Arial" w:cs="Arial"/>
                <w:b/>
                <w:color w:val="000000"/>
              </w:rPr>
            </w:pPr>
            <w:r w:rsidRPr="00A50354">
              <w:rPr>
                <w:highlight w:val="yellow"/>
              </w:rPr>
              <w:br w:type="page"/>
            </w:r>
            <w:r w:rsidRPr="00D350FB">
              <w:rPr>
                <w:rFonts w:ascii="Arial" w:hAnsi="Arial" w:cs="Arial"/>
                <w:b/>
                <w:sz w:val="28"/>
                <w:szCs w:val="28"/>
              </w:rPr>
              <w:t>Consultation Response Form</w:t>
            </w:r>
            <w:r w:rsidRPr="00D350F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418AD2C8" w14:textId="77777777" w:rsidR="000A6554" w:rsidRPr="00D350FB" w:rsidRDefault="000A6554" w:rsidP="002D74A9">
            <w:pPr>
              <w:rPr>
                <w:rFonts w:ascii="Arial" w:hAnsi="Arial" w:cs="Arial"/>
                <w:color w:val="000000"/>
              </w:rPr>
            </w:pPr>
          </w:p>
          <w:p w14:paraId="05C51B73" w14:textId="77777777" w:rsidR="000A6554" w:rsidRPr="00D350F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D350FB">
              <w:rPr>
                <w:rFonts w:ascii="Arial" w:hAnsi="Arial" w:cs="Arial"/>
                <w:color w:val="000000"/>
              </w:rPr>
              <w:t>Your name:</w:t>
            </w:r>
            <w:r w:rsidRPr="00D350FB">
              <w:rPr>
                <w:rFonts w:ascii="Arial" w:hAnsi="Arial" w:cs="Arial"/>
                <w:color w:val="000000"/>
              </w:rPr>
              <w:tab/>
            </w:r>
          </w:p>
          <w:p w14:paraId="75BAC79E" w14:textId="77777777" w:rsidR="000A6554" w:rsidRPr="00D350F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1988E51F" w14:textId="77777777" w:rsidR="000A6554" w:rsidRPr="00D350F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D350FB">
              <w:rPr>
                <w:rFonts w:ascii="Arial" w:hAnsi="Arial" w:cs="Arial"/>
                <w:color w:val="000000"/>
              </w:rPr>
              <w:t>Organisation (if applicable):</w:t>
            </w:r>
          </w:p>
          <w:p w14:paraId="33CA9F51" w14:textId="77777777" w:rsidR="000A6554" w:rsidRPr="00D350F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7F4EC415" w14:textId="06487008" w:rsidR="000A6554" w:rsidRPr="00D350FB" w:rsidRDefault="00DE7D5C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0A6554" w:rsidRPr="00D350FB">
              <w:rPr>
                <w:rFonts w:ascii="Arial" w:hAnsi="Arial" w:cs="Arial"/>
                <w:color w:val="000000"/>
              </w:rPr>
              <w:t>mail / telephone number:</w:t>
            </w:r>
          </w:p>
          <w:p w14:paraId="0BC55BC8" w14:textId="77777777" w:rsidR="000A6554" w:rsidRPr="00D350F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04CCCA97" w14:textId="77777777" w:rsidR="000A6554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D350FB">
              <w:rPr>
                <w:rFonts w:ascii="Arial" w:hAnsi="Arial" w:cs="Arial"/>
                <w:color w:val="000000"/>
              </w:rPr>
              <w:t>Your address:</w:t>
            </w:r>
          </w:p>
          <w:p w14:paraId="60EF1113" w14:textId="77777777" w:rsidR="00D350FB" w:rsidRDefault="00D350FB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1"/>
              <w:gridCol w:w="3729"/>
              <w:gridCol w:w="694"/>
            </w:tblGrid>
            <w:tr w:rsidR="00D350FB" w14:paraId="5640A124" w14:textId="77777777" w:rsidTr="002A3731">
              <w:trPr>
                <w:trHeight w:val="603"/>
              </w:trPr>
              <w:tc>
                <w:tcPr>
                  <w:tcW w:w="12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E6EFC70" w14:textId="77777777" w:rsidR="00D350FB" w:rsidRDefault="00D350FB" w:rsidP="00D350FB">
                  <w:pPr>
                    <w:spacing w:before="120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I am a/an</w:t>
                  </w:r>
                </w:p>
                <w:p w14:paraId="12D73C2B" w14:textId="77777777" w:rsidR="00D350FB" w:rsidRDefault="00D350FB" w:rsidP="00D350FB">
                  <w:pPr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Cs/>
                      <w:i/>
                      <w:iCs/>
                    </w:rPr>
                    <w:t>(please select one from the following)</w:t>
                  </w:r>
                </w:p>
              </w:tc>
              <w:tc>
                <w:tcPr>
                  <w:tcW w:w="3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BEB2D" w14:textId="77777777" w:rsidR="00D350FB" w:rsidRDefault="00D350FB" w:rsidP="00D350FB">
                  <w:pPr>
                    <w:rPr>
                      <w:rFonts w:ascii="Arial" w:eastAsia="Calibri" w:hAnsi="Arial"/>
                    </w:rPr>
                  </w:pPr>
                  <w:r>
                    <w:rPr>
                      <w:rFonts w:ascii="Arial" w:eastAsia="Calibri" w:hAnsi="Arial"/>
                    </w:rPr>
                    <w:t>Patient / Family member or carer of a patient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A07F9" w14:textId="77777777" w:rsidR="00D350FB" w:rsidRDefault="00D350FB" w:rsidP="00D350FB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350FB" w14:paraId="0C97977D" w14:textId="77777777" w:rsidTr="004E31D0">
              <w:trPr>
                <w:trHeight w:val="249"/>
              </w:trPr>
              <w:tc>
                <w:tcPr>
                  <w:tcW w:w="12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872B913" w14:textId="77777777" w:rsidR="00D350FB" w:rsidRDefault="00D350FB" w:rsidP="00D350FB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3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2BCF5" w14:textId="77777777" w:rsidR="00D350FB" w:rsidRDefault="00D350FB" w:rsidP="00D350FB">
                  <w:pPr>
                    <w:rPr>
                      <w:rFonts w:ascii="Arial" w:eastAsia="Calibri" w:hAnsi="Arial"/>
                    </w:rPr>
                  </w:pPr>
                  <w:r>
                    <w:rPr>
                      <w:rFonts w:ascii="Arial" w:eastAsia="Calibri" w:hAnsi="Arial"/>
                    </w:rPr>
                    <w:t>Member of the public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7DF8B" w14:textId="77777777" w:rsidR="00D350FB" w:rsidRDefault="00D350FB" w:rsidP="00D350FB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350FB" w14:paraId="6783719A" w14:textId="77777777" w:rsidTr="004E31D0">
              <w:trPr>
                <w:trHeight w:val="283"/>
              </w:trPr>
              <w:tc>
                <w:tcPr>
                  <w:tcW w:w="12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E9B4E88" w14:textId="77777777" w:rsidR="00D350FB" w:rsidRDefault="00D350FB" w:rsidP="00D350FB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3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0931F" w14:textId="77777777" w:rsidR="00D350FB" w:rsidRDefault="00D350FB" w:rsidP="00D350FB">
                  <w:pPr>
                    <w:rPr>
                      <w:rFonts w:ascii="Arial" w:eastAsia="Calibri" w:hAnsi="Arial"/>
                    </w:rPr>
                  </w:pPr>
                  <w:r>
                    <w:rPr>
                      <w:rFonts w:ascii="Arial" w:eastAsia="Calibri" w:hAnsi="Arial"/>
                    </w:rPr>
                    <w:t>Member of NHS staff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8CC53" w14:textId="77777777" w:rsidR="00D350FB" w:rsidRDefault="00D350FB" w:rsidP="00D350FB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350FB" w14:paraId="12C62B56" w14:textId="77777777" w:rsidTr="004E31D0">
              <w:trPr>
                <w:trHeight w:val="243"/>
              </w:trPr>
              <w:tc>
                <w:tcPr>
                  <w:tcW w:w="12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AA1EE7" w14:textId="77777777" w:rsidR="00D350FB" w:rsidRDefault="00D350FB" w:rsidP="00D350FB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3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0445B" w14:textId="77777777" w:rsidR="00D350FB" w:rsidRDefault="00D350FB" w:rsidP="00D350FB">
                  <w:pPr>
                    <w:rPr>
                      <w:rFonts w:ascii="Arial" w:eastAsia="Calibri" w:hAnsi="Arial"/>
                    </w:rPr>
                  </w:pPr>
                  <w:r>
                    <w:rPr>
                      <w:rFonts w:ascii="Arial" w:eastAsia="Calibri" w:hAnsi="Arial"/>
                    </w:rPr>
                    <w:t>Local Health Board / NHS Trust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B38FD" w14:textId="77777777" w:rsidR="00D350FB" w:rsidRDefault="00D350FB" w:rsidP="00D350FB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350FB" w14:paraId="67368366" w14:textId="77777777" w:rsidTr="002A3731">
              <w:trPr>
                <w:trHeight w:val="559"/>
              </w:trPr>
              <w:tc>
                <w:tcPr>
                  <w:tcW w:w="12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7794B99" w14:textId="77777777" w:rsidR="00D350FB" w:rsidRDefault="00D350FB" w:rsidP="00D350FB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3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5FFC0" w14:textId="77777777" w:rsidR="00D350FB" w:rsidRDefault="00D350FB" w:rsidP="00D350FB">
                  <w:pPr>
                    <w:rPr>
                      <w:rFonts w:ascii="Arial" w:eastAsia="Calibri" w:hAnsi="Arial"/>
                    </w:rPr>
                  </w:pPr>
                  <w:r>
                    <w:rPr>
                      <w:rFonts w:ascii="Arial" w:eastAsia="Calibri" w:hAnsi="Arial"/>
                    </w:rPr>
                    <w:t>Organisation with an interest in the health service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15A6A" w14:textId="77777777" w:rsidR="00D350FB" w:rsidRDefault="00D350FB" w:rsidP="00D350FB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350FB" w14:paraId="60569B0B" w14:textId="77777777" w:rsidTr="002A3731">
              <w:trPr>
                <w:trHeight w:val="559"/>
              </w:trPr>
              <w:tc>
                <w:tcPr>
                  <w:tcW w:w="12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15BD9AA" w14:textId="77777777" w:rsidR="00D350FB" w:rsidRDefault="00D350FB" w:rsidP="00D350FB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3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BA2108" w14:textId="77777777" w:rsidR="00D350FB" w:rsidRDefault="00D350FB" w:rsidP="00D350FB">
                  <w:pPr>
                    <w:rPr>
                      <w:rFonts w:ascii="Arial" w:eastAsia="Calibri" w:hAnsi="Arial"/>
                    </w:rPr>
                  </w:pPr>
                  <w:r>
                    <w:rPr>
                      <w:rFonts w:ascii="Arial" w:eastAsia="Calibri" w:hAnsi="Arial"/>
                    </w:rPr>
                    <w:t xml:space="preserve">Voluntary sector representative (community group, volunteer group, self-help group, </w:t>
                  </w:r>
                  <w:r>
                    <w:rPr>
                      <w:rFonts w:ascii="Arial" w:eastAsia="Calibri" w:hAnsi="Arial"/>
                    </w:rPr>
                    <w:lastRenderedPageBreak/>
                    <w:t>cooperative, enterprise, religious group, not-for-profit organisation)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1F451" w14:textId="77777777" w:rsidR="00D350FB" w:rsidRDefault="00D350FB" w:rsidP="00D350FB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350FB" w14:paraId="26503F54" w14:textId="77777777" w:rsidTr="004E31D0">
              <w:trPr>
                <w:trHeight w:val="261"/>
              </w:trPr>
              <w:tc>
                <w:tcPr>
                  <w:tcW w:w="12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586EA1B" w14:textId="77777777" w:rsidR="00D350FB" w:rsidRDefault="00D350FB" w:rsidP="00D350FB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3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00A57" w14:textId="77777777" w:rsidR="00D350FB" w:rsidRDefault="00D350FB" w:rsidP="00D350FB">
                  <w:pPr>
                    <w:rPr>
                      <w:rFonts w:ascii="Arial" w:eastAsia="Calibri" w:hAnsi="Arial"/>
                    </w:rPr>
                  </w:pPr>
                  <w:r>
                    <w:rPr>
                      <w:rFonts w:ascii="Arial" w:eastAsia="Calibri" w:hAnsi="Arial"/>
                    </w:rPr>
                    <w:t>Other group not listed above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9813F" w14:textId="77777777" w:rsidR="00D350FB" w:rsidRDefault="00D350FB" w:rsidP="00D350FB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</w:tbl>
          <w:p w14:paraId="2D5ECEC4" w14:textId="3F84B3B6" w:rsidR="00D350FB" w:rsidRPr="00D350FB" w:rsidRDefault="00D350FB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0491CDE5" w14:textId="1FEB5F62" w:rsidR="00D350FB" w:rsidRPr="00A50354" w:rsidRDefault="00D350FB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  <w:lang w:val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567"/>
      </w:tblGrid>
      <w:tr w:rsidR="00D350FB" w:rsidRPr="0088129C" w14:paraId="1F7D0F8D" w14:textId="4723DB7E" w:rsidTr="0036168C">
        <w:trPr>
          <w:jc w:val="center"/>
        </w:trPr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065900B7" w14:textId="2120C95A" w:rsidR="00D350FB" w:rsidRPr="0036168C" w:rsidRDefault="00D350FB" w:rsidP="002D7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6168C">
              <w:rPr>
                <w:rFonts w:ascii="Arial" w:hAnsi="Arial" w:cs="Arial"/>
                <w:lang w:val="en-US"/>
              </w:rPr>
              <w:t xml:space="preserve">Responses to consultations are likely to be made public, on the internet or in a report.  If you would prefer your response to remain anonymous, please tick here: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5A849B7" w14:textId="77777777" w:rsidR="00D350FB" w:rsidRPr="00A50354" w:rsidRDefault="00D350FB" w:rsidP="002D7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</w:tbl>
    <w:p w14:paraId="221A4C70" w14:textId="782C1FC9" w:rsidR="0036168C" w:rsidRPr="004E31D0" w:rsidRDefault="000A6554" w:rsidP="004E31D0">
      <w:pPr>
        <w:ind w:left="360"/>
        <w:rPr>
          <w:rFonts w:ascii="Arial" w:hAnsi="Arial" w:cs="Arial"/>
          <w:b/>
        </w:rPr>
      </w:pPr>
      <w:r w:rsidRPr="0088129C">
        <w:rPr>
          <w:rFonts w:ascii="Arial" w:hAnsi="Arial" w:cs="Arial"/>
          <w:color w:val="FC4F08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50FB" w14:paraId="26B9B44B" w14:textId="77777777" w:rsidTr="002A3731">
        <w:tc>
          <w:tcPr>
            <w:tcW w:w="9345" w:type="dxa"/>
            <w:shd w:val="clear" w:color="auto" w:fill="BFBFBF" w:themeFill="background1" w:themeFillShade="BF"/>
          </w:tcPr>
          <w:p w14:paraId="6AB5B307" w14:textId="12ACB27F" w:rsidR="005C5785" w:rsidRPr="005C5785" w:rsidRDefault="00D350FB" w:rsidP="00105C85">
            <w:pPr>
              <w:pStyle w:val="ListParagraph"/>
              <w:numPr>
                <w:ilvl w:val="0"/>
                <w:numId w:val="30"/>
              </w:numPr>
            </w:pPr>
            <w:r w:rsidRPr="00D350FB">
              <w:rPr>
                <w:rFonts w:ascii="Arial" w:hAnsi="Arial" w:cs="Arial"/>
                <w:b/>
              </w:rPr>
              <w:t>Do you think the definitions</w:t>
            </w:r>
            <w:r w:rsidR="00105C85">
              <w:rPr>
                <w:rFonts w:ascii="Arial" w:hAnsi="Arial" w:cs="Arial"/>
                <w:b/>
              </w:rPr>
              <w:t xml:space="preserve"> of ‘paediatric</w:t>
            </w:r>
            <w:r w:rsidR="005C5785">
              <w:rPr>
                <w:rFonts w:ascii="Arial" w:hAnsi="Arial" w:cs="Arial"/>
                <w:b/>
              </w:rPr>
              <w:t xml:space="preserve"> inpatient</w:t>
            </w:r>
            <w:r w:rsidR="009742DD">
              <w:rPr>
                <w:rFonts w:ascii="Arial" w:hAnsi="Arial" w:cs="Arial"/>
                <w:b/>
              </w:rPr>
              <w:t xml:space="preserve"> wards</w:t>
            </w:r>
            <w:r w:rsidR="00105C85">
              <w:rPr>
                <w:rFonts w:ascii="Arial" w:hAnsi="Arial" w:cs="Arial"/>
                <w:b/>
              </w:rPr>
              <w:t xml:space="preserve">’, ‘adult </w:t>
            </w:r>
            <w:r w:rsidR="00D00F0D">
              <w:rPr>
                <w:rFonts w:ascii="Arial" w:hAnsi="Arial" w:cs="Arial"/>
                <w:b/>
              </w:rPr>
              <w:t xml:space="preserve">acute </w:t>
            </w:r>
            <w:r w:rsidR="009742DD">
              <w:rPr>
                <w:rFonts w:ascii="Arial" w:hAnsi="Arial" w:cs="Arial"/>
                <w:b/>
              </w:rPr>
              <w:t>medical</w:t>
            </w:r>
            <w:r w:rsidR="005C5785">
              <w:rPr>
                <w:rFonts w:ascii="Arial" w:hAnsi="Arial" w:cs="Arial"/>
                <w:b/>
              </w:rPr>
              <w:t xml:space="preserve"> inpatient</w:t>
            </w:r>
            <w:r w:rsidR="009742DD">
              <w:rPr>
                <w:rFonts w:ascii="Arial" w:hAnsi="Arial" w:cs="Arial"/>
                <w:b/>
              </w:rPr>
              <w:t xml:space="preserve"> wards</w:t>
            </w:r>
            <w:r w:rsidR="00105C85">
              <w:rPr>
                <w:rFonts w:ascii="Arial" w:hAnsi="Arial" w:cs="Arial"/>
                <w:b/>
              </w:rPr>
              <w:t xml:space="preserve">’ and ‘adult </w:t>
            </w:r>
            <w:r w:rsidR="00D00F0D">
              <w:rPr>
                <w:rFonts w:ascii="Arial" w:hAnsi="Arial" w:cs="Arial"/>
                <w:b/>
              </w:rPr>
              <w:t xml:space="preserve">acute </w:t>
            </w:r>
            <w:r w:rsidR="00105C85">
              <w:rPr>
                <w:rFonts w:ascii="Arial" w:hAnsi="Arial" w:cs="Arial"/>
                <w:b/>
              </w:rPr>
              <w:t>surgical</w:t>
            </w:r>
            <w:r w:rsidR="005C5785">
              <w:rPr>
                <w:rFonts w:ascii="Arial" w:hAnsi="Arial" w:cs="Arial"/>
                <w:b/>
              </w:rPr>
              <w:t xml:space="preserve"> inpatient</w:t>
            </w:r>
            <w:r w:rsidR="009742DD">
              <w:rPr>
                <w:rFonts w:ascii="Arial" w:hAnsi="Arial" w:cs="Arial"/>
                <w:b/>
              </w:rPr>
              <w:t xml:space="preserve"> wards</w:t>
            </w:r>
            <w:r w:rsidR="00105C85">
              <w:rPr>
                <w:rFonts w:ascii="Arial" w:hAnsi="Arial" w:cs="Arial"/>
                <w:b/>
              </w:rPr>
              <w:t>’</w:t>
            </w:r>
            <w:r w:rsidR="005C5785">
              <w:rPr>
                <w:rFonts w:ascii="Arial" w:hAnsi="Arial" w:cs="Arial"/>
                <w:b/>
              </w:rPr>
              <w:t xml:space="preserve">, within </w:t>
            </w:r>
            <w:r w:rsidR="00D00F0D">
              <w:rPr>
                <w:rFonts w:ascii="Arial" w:hAnsi="Arial" w:cs="Arial"/>
                <w:b/>
              </w:rPr>
              <w:t xml:space="preserve">paragraphs 28 to 30 of </w:t>
            </w:r>
            <w:r w:rsidR="005C5785">
              <w:rPr>
                <w:rFonts w:ascii="Arial" w:hAnsi="Arial" w:cs="Arial"/>
                <w:b/>
              </w:rPr>
              <w:t>the statutory guidance,</w:t>
            </w:r>
            <w:r w:rsidRPr="00D350FB">
              <w:rPr>
                <w:rFonts w:ascii="Arial" w:hAnsi="Arial" w:cs="Arial"/>
                <w:b/>
              </w:rPr>
              <w:t xml:space="preserve"> are </w:t>
            </w:r>
            <w:r w:rsidR="00105C85" w:rsidRPr="00D350FB">
              <w:rPr>
                <w:rFonts w:ascii="Arial" w:hAnsi="Arial" w:cs="Arial"/>
                <w:b/>
              </w:rPr>
              <w:t>suitabl</w:t>
            </w:r>
            <w:r w:rsidR="00105C85">
              <w:rPr>
                <w:rFonts w:ascii="Arial" w:hAnsi="Arial" w:cs="Arial"/>
                <w:b/>
              </w:rPr>
              <w:t>y</w:t>
            </w:r>
            <w:r w:rsidR="00105C85" w:rsidRPr="00D350FB">
              <w:rPr>
                <w:rFonts w:ascii="Arial" w:hAnsi="Arial" w:cs="Arial"/>
                <w:b/>
              </w:rPr>
              <w:t xml:space="preserve"> </w:t>
            </w:r>
            <w:r w:rsidRPr="00D350FB">
              <w:rPr>
                <w:rFonts w:ascii="Arial" w:hAnsi="Arial" w:cs="Arial"/>
                <w:b/>
              </w:rPr>
              <w:t xml:space="preserve">clear and easy to understand? </w:t>
            </w:r>
            <w:r w:rsidR="00105C85">
              <w:rPr>
                <w:rFonts w:ascii="Arial" w:hAnsi="Arial" w:cs="Arial"/>
                <w:b/>
              </w:rPr>
              <w:t xml:space="preserve"> </w:t>
            </w:r>
          </w:p>
          <w:p w14:paraId="002CD471" w14:textId="77777777" w:rsidR="005C5785" w:rsidRDefault="005C5785" w:rsidP="005C5785">
            <w:pPr>
              <w:pStyle w:val="ListParagraph"/>
              <w:rPr>
                <w:rFonts w:ascii="Arial" w:hAnsi="Arial" w:cs="Arial"/>
                <w:b/>
              </w:rPr>
            </w:pPr>
          </w:p>
          <w:p w14:paraId="7E8746F2" w14:textId="521A5FB5" w:rsidR="00D350FB" w:rsidRPr="00F1425B" w:rsidRDefault="00D350FB" w:rsidP="009742DD">
            <w:pPr>
              <w:pStyle w:val="ListParagraph"/>
            </w:pPr>
            <w:r w:rsidRPr="00D350FB">
              <w:rPr>
                <w:rFonts w:ascii="Arial" w:hAnsi="Arial" w:cs="Arial"/>
                <w:b/>
              </w:rPr>
              <w:t xml:space="preserve">If not, </w:t>
            </w:r>
            <w:r w:rsidR="009742DD">
              <w:rPr>
                <w:rFonts w:ascii="Arial" w:hAnsi="Arial" w:cs="Arial"/>
                <w:b/>
              </w:rPr>
              <w:t>how do you think they could be made clearer?</w:t>
            </w:r>
            <w:r w:rsidRPr="00D350FB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350FB" w14:paraId="4AB9E69F" w14:textId="77777777" w:rsidTr="00D350FB">
        <w:tc>
          <w:tcPr>
            <w:tcW w:w="9345" w:type="dxa"/>
            <w:shd w:val="clear" w:color="auto" w:fill="FFFFFF" w:themeFill="background1"/>
          </w:tcPr>
          <w:p w14:paraId="04CE30CD" w14:textId="77777777" w:rsidR="00D350FB" w:rsidRDefault="00D350FB" w:rsidP="00D350FB">
            <w:pPr>
              <w:pStyle w:val="ListParagraph"/>
              <w:rPr>
                <w:rFonts w:ascii="Arial" w:hAnsi="Arial" w:cs="Arial"/>
                <w:b/>
              </w:rPr>
            </w:pPr>
          </w:p>
          <w:p w14:paraId="3CD637CF" w14:textId="47CE0CF8" w:rsidR="00D350FB" w:rsidRPr="006E741B" w:rsidRDefault="006E741B" w:rsidP="00D350FB">
            <w:pPr>
              <w:pStyle w:val="ListParagraph"/>
              <w:rPr>
                <w:rFonts w:ascii="Arial" w:hAnsi="Arial" w:cs="Arial"/>
                <w:color w:val="A6A6A6" w:themeColor="background1" w:themeShade="A6"/>
              </w:rPr>
            </w:pPr>
            <w:r w:rsidRPr="006E741B">
              <w:rPr>
                <w:rFonts w:ascii="Arial" w:hAnsi="Arial" w:cs="Arial"/>
                <w:color w:val="A6A6A6" w:themeColor="background1" w:themeShade="A6"/>
              </w:rPr>
              <w:lastRenderedPageBreak/>
              <w:t>Your answer here</w:t>
            </w:r>
          </w:p>
          <w:p w14:paraId="3A2579AE" w14:textId="7532E709" w:rsidR="00D350FB" w:rsidRPr="00D350FB" w:rsidRDefault="00D350FB" w:rsidP="00D350FB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0DCDBF32" w14:textId="76A65D21" w:rsidR="009742DD" w:rsidRPr="00410322" w:rsidRDefault="009742DD" w:rsidP="00D350FB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D350FB" w14:paraId="41543C11" w14:textId="77777777" w:rsidTr="002A3731">
        <w:tc>
          <w:tcPr>
            <w:tcW w:w="9350" w:type="dxa"/>
            <w:shd w:val="clear" w:color="auto" w:fill="BFBFBF" w:themeFill="background1" w:themeFillShade="BF"/>
          </w:tcPr>
          <w:p w14:paraId="4E7D8B42" w14:textId="23836E3C" w:rsidR="00D350FB" w:rsidRPr="004E31D0" w:rsidRDefault="009742DD" w:rsidP="00DE7D5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9742DD">
              <w:rPr>
                <w:rFonts w:ascii="Arial" w:hAnsi="Arial" w:cs="Arial"/>
                <w:b/>
              </w:rPr>
              <w:t xml:space="preserve">Is the list of excluded </w:t>
            </w:r>
            <w:r w:rsidR="00297F7B">
              <w:rPr>
                <w:rFonts w:ascii="Arial" w:hAnsi="Arial" w:cs="Arial"/>
                <w:b/>
              </w:rPr>
              <w:t xml:space="preserve">care </w:t>
            </w:r>
            <w:r w:rsidR="00DE7D5C">
              <w:rPr>
                <w:rFonts w:ascii="Arial" w:hAnsi="Arial" w:cs="Arial"/>
                <w:b/>
              </w:rPr>
              <w:t>settings</w:t>
            </w:r>
            <w:r w:rsidR="00DE7D5C" w:rsidRPr="009742DD">
              <w:rPr>
                <w:rFonts w:ascii="Arial" w:hAnsi="Arial" w:cs="Arial"/>
                <w:b/>
              </w:rPr>
              <w:t xml:space="preserve"> </w:t>
            </w:r>
            <w:r w:rsidRPr="009742DD">
              <w:rPr>
                <w:rFonts w:ascii="Arial" w:hAnsi="Arial" w:cs="Arial"/>
                <w:b/>
              </w:rPr>
              <w:t>(settings not considered to fall within the definition of a paediatric inpatient ward) at paragraph 30 of the statutory guidance, appropriate?</w:t>
            </w:r>
            <w:r w:rsidR="004E31D0">
              <w:rPr>
                <w:rFonts w:ascii="Arial" w:hAnsi="Arial" w:cs="Arial"/>
                <w:b/>
              </w:rPr>
              <w:t xml:space="preserve"> </w:t>
            </w:r>
            <w:r w:rsidRPr="004E31D0">
              <w:rPr>
                <w:rFonts w:ascii="Arial" w:hAnsi="Arial" w:cs="Arial"/>
                <w:b/>
              </w:rPr>
              <w:t>If not, why not?</w:t>
            </w:r>
          </w:p>
        </w:tc>
      </w:tr>
      <w:tr w:rsidR="00D350FB" w14:paraId="3A4EEA39" w14:textId="77777777" w:rsidTr="00D350FB">
        <w:tc>
          <w:tcPr>
            <w:tcW w:w="9350" w:type="dxa"/>
            <w:shd w:val="clear" w:color="auto" w:fill="FFFFFF" w:themeFill="background1"/>
          </w:tcPr>
          <w:p w14:paraId="716E7D18" w14:textId="77777777" w:rsidR="00D350FB" w:rsidRDefault="00D350FB" w:rsidP="00D350FB">
            <w:pPr>
              <w:pStyle w:val="ListParagraph"/>
              <w:rPr>
                <w:rFonts w:ascii="Arial" w:hAnsi="Arial" w:cs="Arial"/>
                <w:b/>
              </w:rPr>
            </w:pPr>
          </w:p>
          <w:p w14:paraId="2A1ADF84" w14:textId="77777777" w:rsidR="006E741B" w:rsidRPr="006E741B" w:rsidRDefault="006E741B" w:rsidP="006E741B">
            <w:pPr>
              <w:pStyle w:val="ListParagraph"/>
              <w:rPr>
                <w:rFonts w:ascii="Arial" w:hAnsi="Arial" w:cs="Arial"/>
                <w:color w:val="A6A6A6" w:themeColor="background1" w:themeShade="A6"/>
              </w:rPr>
            </w:pPr>
            <w:r w:rsidRPr="006E741B">
              <w:rPr>
                <w:rFonts w:ascii="Arial" w:hAnsi="Arial" w:cs="Arial"/>
                <w:color w:val="A6A6A6" w:themeColor="background1" w:themeShade="A6"/>
              </w:rPr>
              <w:t>Your answer here</w:t>
            </w:r>
          </w:p>
          <w:p w14:paraId="6D24DD69" w14:textId="475F57BC" w:rsidR="00D350FB" w:rsidRPr="006E741B" w:rsidRDefault="00D350FB" w:rsidP="006E741B">
            <w:pPr>
              <w:rPr>
                <w:rFonts w:ascii="Arial" w:hAnsi="Arial" w:cs="Arial"/>
                <w:b/>
              </w:rPr>
            </w:pPr>
          </w:p>
        </w:tc>
      </w:tr>
    </w:tbl>
    <w:p w14:paraId="579130E4" w14:textId="77777777" w:rsidR="00D350FB" w:rsidRDefault="00D350FB" w:rsidP="00D350F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50FB" w14:paraId="379D91A8" w14:textId="77777777" w:rsidTr="002A3731">
        <w:tc>
          <w:tcPr>
            <w:tcW w:w="9345" w:type="dxa"/>
            <w:shd w:val="clear" w:color="auto" w:fill="BFBFBF" w:themeFill="background1" w:themeFillShade="BF"/>
          </w:tcPr>
          <w:p w14:paraId="780D7710" w14:textId="2B37E578" w:rsidR="00D350FB" w:rsidRPr="00F1425B" w:rsidRDefault="00D350FB" w:rsidP="008336B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have any observations on the general amendments </w:t>
            </w:r>
            <w:r w:rsidR="00805854">
              <w:rPr>
                <w:rFonts w:ascii="Arial" w:hAnsi="Arial" w:cs="Arial"/>
                <w:b/>
              </w:rPr>
              <w:t xml:space="preserve">made to </w:t>
            </w:r>
            <w:r w:rsidR="00EF58BD">
              <w:rPr>
                <w:rFonts w:ascii="Arial" w:hAnsi="Arial" w:cs="Arial"/>
                <w:b/>
              </w:rPr>
              <w:t xml:space="preserve">the statutory guidance, to </w:t>
            </w:r>
            <w:r w:rsidR="008336B8">
              <w:rPr>
                <w:rFonts w:ascii="Arial" w:hAnsi="Arial" w:cs="Arial"/>
                <w:b/>
              </w:rPr>
              <w:t xml:space="preserve">reflect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="00EF58BD">
              <w:rPr>
                <w:rFonts w:ascii="Arial" w:hAnsi="Arial" w:cs="Arial"/>
                <w:b/>
              </w:rPr>
              <w:t xml:space="preserve">inclusion of </w:t>
            </w:r>
            <w:r>
              <w:rPr>
                <w:rFonts w:ascii="Arial" w:hAnsi="Arial" w:cs="Arial"/>
                <w:b/>
              </w:rPr>
              <w:t xml:space="preserve">paediatric inpatient </w:t>
            </w:r>
            <w:r w:rsidR="00EF58BD">
              <w:rPr>
                <w:rFonts w:ascii="Arial" w:hAnsi="Arial" w:cs="Arial"/>
                <w:b/>
              </w:rPr>
              <w:t>wards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F58BD">
              <w:rPr>
                <w:rFonts w:ascii="Arial" w:hAnsi="Arial" w:cs="Arial"/>
                <w:b/>
              </w:rPr>
              <w:t>within</w:t>
            </w:r>
            <w:r w:rsidR="00805854">
              <w:rPr>
                <w:rFonts w:ascii="Arial" w:hAnsi="Arial" w:cs="Arial"/>
                <w:b/>
              </w:rPr>
              <w:t xml:space="preserve"> the duties </w:t>
            </w:r>
            <w:r>
              <w:rPr>
                <w:rFonts w:ascii="Arial" w:hAnsi="Arial" w:cs="Arial"/>
                <w:b/>
              </w:rPr>
              <w:t xml:space="preserve">under sections 25B and 25C? </w:t>
            </w:r>
          </w:p>
        </w:tc>
      </w:tr>
      <w:tr w:rsidR="00D350FB" w14:paraId="0E9DDED5" w14:textId="77777777" w:rsidTr="00D350FB">
        <w:tc>
          <w:tcPr>
            <w:tcW w:w="9345" w:type="dxa"/>
            <w:shd w:val="clear" w:color="auto" w:fill="FFFFFF" w:themeFill="background1"/>
          </w:tcPr>
          <w:p w14:paraId="47FAD0D3" w14:textId="77777777" w:rsidR="00D350FB" w:rsidRDefault="00D350FB" w:rsidP="00D350FB">
            <w:pPr>
              <w:pStyle w:val="ListParagraph"/>
              <w:rPr>
                <w:rFonts w:ascii="Arial" w:hAnsi="Arial" w:cs="Arial"/>
                <w:b/>
              </w:rPr>
            </w:pPr>
          </w:p>
          <w:p w14:paraId="63FD8459" w14:textId="77777777" w:rsidR="006E741B" w:rsidRPr="006E741B" w:rsidRDefault="006E741B" w:rsidP="006E741B">
            <w:pPr>
              <w:pStyle w:val="ListParagraph"/>
              <w:rPr>
                <w:rFonts w:ascii="Arial" w:hAnsi="Arial" w:cs="Arial"/>
                <w:color w:val="A6A6A6" w:themeColor="background1" w:themeShade="A6"/>
              </w:rPr>
            </w:pPr>
            <w:r w:rsidRPr="006E741B">
              <w:rPr>
                <w:rFonts w:ascii="Arial" w:hAnsi="Arial" w:cs="Arial"/>
                <w:color w:val="A6A6A6" w:themeColor="background1" w:themeShade="A6"/>
              </w:rPr>
              <w:t>Your answer here</w:t>
            </w:r>
          </w:p>
          <w:p w14:paraId="3FAA9834" w14:textId="79B60AF9" w:rsidR="00D350FB" w:rsidRPr="006E741B" w:rsidRDefault="00D350FB" w:rsidP="006E741B">
            <w:pPr>
              <w:rPr>
                <w:rFonts w:ascii="Arial" w:hAnsi="Arial" w:cs="Arial"/>
                <w:b/>
              </w:rPr>
            </w:pPr>
          </w:p>
        </w:tc>
      </w:tr>
    </w:tbl>
    <w:p w14:paraId="2E1988BA" w14:textId="044FF9FC" w:rsidR="00D350FB" w:rsidRDefault="00D350FB" w:rsidP="00D350F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50FB" w14:paraId="799361C3" w14:textId="77777777" w:rsidTr="002A3731">
        <w:tc>
          <w:tcPr>
            <w:tcW w:w="9345" w:type="dxa"/>
            <w:shd w:val="clear" w:color="auto" w:fill="BFBFBF" w:themeFill="background1" w:themeFillShade="BF"/>
          </w:tcPr>
          <w:p w14:paraId="7227BD3A" w14:textId="1A6AEA56" w:rsidR="00D350FB" w:rsidRPr="00F1425B" w:rsidRDefault="00D350FB" w:rsidP="008336B8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ascii="Arial" w:hAnsi="Arial" w:cs="Arial"/>
                <w:b/>
              </w:rPr>
              <w:t xml:space="preserve">We have asked a number of specific questions about the amendments made to the statutory guidance. If </w:t>
            </w:r>
            <w:r w:rsidR="008336B8">
              <w:rPr>
                <w:rFonts w:ascii="Arial" w:hAnsi="Arial" w:cs="Arial"/>
                <w:b/>
              </w:rPr>
              <w:t>there are</w:t>
            </w:r>
            <w:r>
              <w:rPr>
                <w:rFonts w:ascii="Arial" w:hAnsi="Arial" w:cs="Arial"/>
                <w:b/>
              </w:rPr>
              <w:t xml:space="preserve"> any related issues that we have not specifically addressed, please raise them here</w:t>
            </w:r>
            <w:r>
              <w:rPr>
                <w:rFonts w:ascii="Arial" w:hAnsi="Arial"/>
                <w:b/>
              </w:rPr>
              <w:t>.</w:t>
            </w:r>
          </w:p>
        </w:tc>
      </w:tr>
      <w:tr w:rsidR="00D350FB" w14:paraId="491F8784" w14:textId="77777777" w:rsidTr="00D350FB">
        <w:tc>
          <w:tcPr>
            <w:tcW w:w="9345" w:type="dxa"/>
            <w:shd w:val="clear" w:color="auto" w:fill="FFFFFF" w:themeFill="background1"/>
          </w:tcPr>
          <w:p w14:paraId="556D9874" w14:textId="77777777" w:rsidR="00D350FB" w:rsidRDefault="00D350FB" w:rsidP="00D350FB">
            <w:pPr>
              <w:pStyle w:val="ListParagraph"/>
              <w:rPr>
                <w:rFonts w:ascii="Arial" w:hAnsi="Arial" w:cs="Arial"/>
                <w:b/>
              </w:rPr>
            </w:pPr>
          </w:p>
          <w:p w14:paraId="511B4282" w14:textId="77777777" w:rsidR="006E741B" w:rsidRPr="006E741B" w:rsidRDefault="006E741B" w:rsidP="006E741B">
            <w:pPr>
              <w:pStyle w:val="ListParagraph"/>
              <w:rPr>
                <w:rFonts w:ascii="Arial" w:hAnsi="Arial" w:cs="Arial"/>
                <w:color w:val="A6A6A6" w:themeColor="background1" w:themeShade="A6"/>
              </w:rPr>
            </w:pPr>
            <w:r w:rsidRPr="006E741B">
              <w:rPr>
                <w:rFonts w:ascii="Arial" w:hAnsi="Arial" w:cs="Arial"/>
                <w:color w:val="A6A6A6" w:themeColor="background1" w:themeShade="A6"/>
              </w:rPr>
              <w:t>Your answer here</w:t>
            </w:r>
          </w:p>
          <w:p w14:paraId="3704AAF7" w14:textId="18D962FD" w:rsidR="00D350FB" w:rsidRPr="006E741B" w:rsidRDefault="00D350FB" w:rsidP="006E741B">
            <w:pPr>
              <w:rPr>
                <w:rFonts w:ascii="Arial" w:hAnsi="Arial" w:cs="Arial"/>
                <w:b/>
              </w:rPr>
            </w:pPr>
          </w:p>
        </w:tc>
      </w:tr>
    </w:tbl>
    <w:p w14:paraId="3C5F4D01" w14:textId="1A28711D" w:rsidR="00D350FB" w:rsidRDefault="00D350FB" w:rsidP="00D350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50FB" w14:paraId="5EA5CB4E" w14:textId="77777777" w:rsidTr="002A3731">
        <w:tc>
          <w:tcPr>
            <w:tcW w:w="9345" w:type="dxa"/>
            <w:shd w:val="clear" w:color="auto" w:fill="BFBFBF" w:themeFill="background1" w:themeFillShade="BF"/>
          </w:tcPr>
          <w:p w14:paraId="2F1A06D7" w14:textId="2F16C692" w:rsidR="00D350FB" w:rsidRDefault="00D350FB" w:rsidP="00D350F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B92ED9">
              <w:rPr>
                <w:rFonts w:ascii="Arial" w:hAnsi="Arial" w:cs="Arial"/>
                <w:b/>
              </w:rPr>
              <w:t xml:space="preserve">We would like to know your views on the effects that </w:t>
            </w:r>
            <w:r>
              <w:rPr>
                <w:rFonts w:ascii="Arial" w:hAnsi="Arial" w:cs="Arial"/>
                <w:b/>
              </w:rPr>
              <w:t xml:space="preserve">the guidance </w:t>
            </w:r>
            <w:r w:rsidRPr="00B92ED9">
              <w:rPr>
                <w:rFonts w:ascii="Arial" w:hAnsi="Arial" w:cs="Arial"/>
                <w:b/>
              </w:rPr>
              <w:t>would have on t</w:t>
            </w:r>
            <w:r>
              <w:rPr>
                <w:rFonts w:ascii="Arial" w:hAnsi="Arial" w:cs="Arial"/>
                <w:b/>
              </w:rPr>
              <w:t>he Welsh language, specifically on:</w:t>
            </w:r>
          </w:p>
          <w:p w14:paraId="14853A07" w14:textId="77777777" w:rsidR="00D350FB" w:rsidRPr="00B92ED9" w:rsidRDefault="00D350FB" w:rsidP="002A3731">
            <w:pPr>
              <w:pStyle w:val="ListParagraph"/>
              <w:rPr>
                <w:rFonts w:ascii="Arial" w:hAnsi="Arial" w:cs="Arial"/>
                <w:b/>
              </w:rPr>
            </w:pPr>
          </w:p>
          <w:p w14:paraId="560FE2CD" w14:textId="77777777" w:rsidR="00D350FB" w:rsidRPr="00B92ED9" w:rsidRDefault="00D350FB" w:rsidP="00805854">
            <w:pPr>
              <w:pStyle w:val="ListParagraph"/>
              <w:widowControl w:val="0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B92ED9">
              <w:rPr>
                <w:rFonts w:ascii="Arial" w:hAnsi="Arial" w:cs="Arial"/>
                <w:b/>
              </w:rPr>
              <w:t>opportunities for people to use Welsh</w:t>
            </w:r>
            <w:r>
              <w:rPr>
                <w:rFonts w:ascii="Arial" w:hAnsi="Arial" w:cs="Arial"/>
                <w:b/>
              </w:rPr>
              <w:t>;</w:t>
            </w:r>
            <w:r w:rsidRPr="00B92ED9">
              <w:rPr>
                <w:rFonts w:ascii="Arial" w:hAnsi="Arial" w:cs="Arial"/>
                <w:b/>
              </w:rPr>
              <w:t xml:space="preserve"> and</w:t>
            </w:r>
          </w:p>
          <w:p w14:paraId="3A7CBE85" w14:textId="77777777" w:rsidR="00D350FB" w:rsidRPr="002D3ACD" w:rsidRDefault="00D350FB" w:rsidP="00805854">
            <w:pPr>
              <w:pStyle w:val="ListParagraph"/>
              <w:widowControl w:val="0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B92ED9">
              <w:rPr>
                <w:rFonts w:ascii="Arial" w:hAnsi="Arial" w:cs="Arial"/>
                <w:b/>
              </w:rPr>
              <w:t xml:space="preserve">treating the Welsh language no less favourably than English.  </w:t>
            </w:r>
          </w:p>
        </w:tc>
      </w:tr>
      <w:tr w:rsidR="00D350FB" w14:paraId="1A20A91C" w14:textId="77777777" w:rsidTr="00D350FB">
        <w:tc>
          <w:tcPr>
            <w:tcW w:w="9345" w:type="dxa"/>
            <w:shd w:val="clear" w:color="auto" w:fill="FFFFFF" w:themeFill="background1"/>
          </w:tcPr>
          <w:p w14:paraId="4A848409" w14:textId="77777777" w:rsidR="00D350FB" w:rsidRDefault="00D350FB" w:rsidP="00D350FB">
            <w:pPr>
              <w:pStyle w:val="ListParagraph"/>
              <w:rPr>
                <w:rFonts w:ascii="Arial" w:hAnsi="Arial" w:cs="Arial"/>
                <w:b/>
              </w:rPr>
            </w:pPr>
          </w:p>
          <w:p w14:paraId="60DA915B" w14:textId="26369BAF" w:rsidR="00D350FB" w:rsidRPr="006E741B" w:rsidRDefault="006E741B" w:rsidP="006E741B">
            <w:pPr>
              <w:pStyle w:val="ListParagraph"/>
              <w:rPr>
                <w:rFonts w:ascii="Arial" w:hAnsi="Arial" w:cs="Arial"/>
                <w:color w:val="A6A6A6" w:themeColor="background1" w:themeShade="A6"/>
              </w:rPr>
            </w:pPr>
            <w:r w:rsidRPr="006E741B">
              <w:rPr>
                <w:rFonts w:ascii="Arial" w:hAnsi="Arial" w:cs="Arial"/>
                <w:color w:val="A6A6A6" w:themeColor="background1" w:themeShade="A6"/>
              </w:rPr>
              <w:t>Your answer here</w:t>
            </w:r>
          </w:p>
          <w:p w14:paraId="20E8B2D0" w14:textId="58CA3831" w:rsidR="00D350FB" w:rsidRPr="00B92ED9" w:rsidRDefault="00D350FB" w:rsidP="00D350FB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19756B1F" w14:textId="77777777" w:rsidR="00D350FB" w:rsidRDefault="00D350FB" w:rsidP="00D350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50FB" w14:paraId="57382448" w14:textId="77777777" w:rsidTr="002A3731">
        <w:tc>
          <w:tcPr>
            <w:tcW w:w="9345" w:type="dxa"/>
            <w:shd w:val="clear" w:color="auto" w:fill="BFBFBF" w:themeFill="background1" w:themeFillShade="BF"/>
          </w:tcPr>
          <w:p w14:paraId="489B3A6F" w14:textId="77777777" w:rsidR="00D350FB" w:rsidRDefault="00D350FB" w:rsidP="00D350F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B92ED9">
              <w:rPr>
                <w:rFonts w:ascii="Arial" w:hAnsi="Arial" w:cs="Arial"/>
                <w:b/>
              </w:rPr>
              <w:t xml:space="preserve">Please also explain how you believe the </w:t>
            </w:r>
            <w:r>
              <w:rPr>
                <w:rFonts w:ascii="Arial" w:hAnsi="Arial" w:cs="Arial"/>
                <w:b/>
              </w:rPr>
              <w:t>guidance</w:t>
            </w:r>
            <w:r w:rsidRPr="00B92ED9">
              <w:rPr>
                <w:rFonts w:ascii="Arial" w:hAnsi="Arial" w:cs="Arial"/>
                <w:b/>
              </w:rPr>
              <w:t xml:space="preserve"> could be form</w:t>
            </w:r>
            <w:r>
              <w:rPr>
                <w:rFonts w:ascii="Arial" w:hAnsi="Arial" w:cs="Arial"/>
                <w:b/>
              </w:rPr>
              <w:t>ulated or changed so as to have:</w:t>
            </w:r>
          </w:p>
          <w:p w14:paraId="061D9AAE" w14:textId="77777777" w:rsidR="00D350FB" w:rsidRPr="00B92ED9" w:rsidRDefault="00D350FB" w:rsidP="002A3731">
            <w:pPr>
              <w:pStyle w:val="ListParagraph"/>
              <w:rPr>
                <w:rFonts w:ascii="Arial" w:hAnsi="Arial" w:cs="Arial"/>
                <w:b/>
              </w:rPr>
            </w:pPr>
          </w:p>
          <w:p w14:paraId="38C3BD55" w14:textId="77777777" w:rsidR="00D350FB" w:rsidRPr="00B92ED9" w:rsidRDefault="00D350FB" w:rsidP="0080585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B92ED9">
              <w:rPr>
                <w:rFonts w:ascii="Arial" w:hAnsi="Arial" w:cs="Arial"/>
                <w:b/>
              </w:rPr>
              <w:t>positive effects or increased positive effects on opportunities for people to use the Welsh language and on treating the Welsh language no less favourably than the E</w:t>
            </w:r>
            <w:r>
              <w:rPr>
                <w:rFonts w:ascii="Arial" w:hAnsi="Arial" w:cs="Arial"/>
                <w:b/>
              </w:rPr>
              <w:t>nglish language;</w:t>
            </w:r>
            <w:r w:rsidRPr="00B92ED9">
              <w:rPr>
                <w:rFonts w:ascii="Arial" w:hAnsi="Arial" w:cs="Arial"/>
                <w:b/>
              </w:rPr>
              <w:t xml:space="preserve"> and </w:t>
            </w:r>
          </w:p>
          <w:p w14:paraId="48434197" w14:textId="77777777" w:rsidR="00D350FB" w:rsidRPr="002D3ACD" w:rsidRDefault="00D350FB" w:rsidP="0080585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B92ED9">
              <w:rPr>
                <w:rFonts w:ascii="Arial" w:hAnsi="Arial" w:cs="Arial"/>
                <w:b/>
              </w:rPr>
              <w:lastRenderedPageBreak/>
              <w:t xml:space="preserve">no adverse effects on opportunities for people to use the Welsh language and on treating the Welsh language no less favourably than the English language.  </w:t>
            </w:r>
          </w:p>
        </w:tc>
      </w:tr>
      <w:tr w:rsidR="00D350FB" w14:paraId="32B3CFA8" w14:textId="77777777" w:rsidTr="00D350FB">
        <w:tc>
          <w:tcPr>
            <w:tcW w:w="9345" w:type="dxa"/>
            <w:shd w:val="clear" w:color="auto" w:fill="FFFFFF" w:themeFill="background1"/>
          </w:tcPr>
          <w:p w14:paraId="7CB94D60" w14:textId="77777777" w:rsidR="00D350FB" w:rsidRDefault="00D350FB" w:rsidP="00D350FB">
            <w:pPr>
              <w:pStyle w:val="ListParagraph"/>
              <w:rPr>
                <w:rFonts w:ascii="Arial" w:hAnsi="Arial" w:cs="Arial"/>
                <w:b/>
              </w:rPr>
            </w:pPr>
          </w:p>
          <w:p w14:paraId="17FF5A53" w14:textId="77777777" w:rsidR="006E741B" w:rsidRPr="006E741B" w:rsidRDefault="006E741B" w:rsidP="006E741B">
            <w:pPr>
              <w:pStyle w:val="ListParagraph"/>
              <w:rPr>
                <w:rFonts w:ascii="Arial" w:hAnsi="Arial" w:cs="Arial"/>
                <w:color w:val="A6A6A6" w:themeColor="background1" w:themeShade="A6"/>
              </w:rPr>
            </w:pPr>
            <w:r w:rsidRPr="006E741B">
              <w:rPr>
                <w:rFonts w:ascii="Arial" w:hAnsi="Arial" w:cs="Arial"/>
                <w:color w:val="A6A6A6" w:themeColor="background1" w:themeShade="A6"/>
              </w:rPr>
              <w:t>Your answer here</w:t>
            </w:r>
          </w:p>
          <w:p w14:paraId="2CBB90EE" w14:textId="0303A9F9" w:rsidR="00D350FB" w:rsidRPr="004E31D0" w:rsidRDefault="00D350FB" w:rsidP="004E31D0">
            <w:pPr>
              <w:rPr>
                <w:rFonts w:ascii="Arial" w:hAnsi="Arial" w:cs="Arial"/>
                <w:b/>
              </w:rPr>
            </w:pPr>
          </w:p>
        </w:tc>
      </w:tr>
    </w:tbl>
    <w:p w14:paraId="5D12E451" w14:textId="2F812A48" w:rsidR="00635C87" w:rsidRDefault="00635C87" w:rsidP="004C16E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D785A" w14:paraId="7A546940" w14:textId="77777777" w:rsidTr="007D354C">
        <w:tc>
          <w:tcPr>
            <w:tcW w:w="9345" w:type="dxa"/>
            <w:shd w:val="clear" w:color="auto" w:fill="BFBFBF" w:themeFill="background1" w:themeFillShade="BF"/>
          </w:tcPr>
          <w:p w14:paraId="72A91D12" w14:textId="77777777" w:rsidR="004D785A" w:rsidRDefault="004D785A" w:rsidP="004D785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B92ED9">
              <w:rPr>
                <w:rFonts w:ascii="Arial" w:hAnsi="Arial" w:cs="Arial"/>
                <w:b/>
              </w:rPr>
              <w:t xml:space="preserve">We would like to know your views on the </w:t>
            </w:r>
            <w:r>
              <w:rPr>
                <w:rFonts w:ascii="Arial" w:hAnsi="Arial" w:cs="Arial"/>
                <w:b/>
              </w:rPr>
              <w:t>impact</w:t>
            </w:r>
            <w:r w:rsidRPr="00B92ED9">
              <w:rPr>
                <w:rFonts w:ascii="Arial" w:hAnsi="Arial" w:cs="Arial"/>
                <w:b/>
              </w:rPr>
              <w:t xml:space="preserve"> that </w:t>
            </w:r>
            <w:r>
              <w:rPr>
                <w:rFonts w:ascii="Arial" w:hAnsi="Arial" w:cs="Arial"/>
                <w:b/>
              </w:rPr>
              <w:t xml:space="preserve">the guidance </w:t>
            </w:r>
            <w:r w:rsidRPr="00B92ED9">
              <w:rPr>
                <w:rFonts w:ascii="Arial" w:hAnsi="Arial" w:cs="Arial"/>
                <w:b/>
              </w:rPr>
              <w:t>would have</w:t>
            </w:r>
            <w:r>
              <w:rPr>
                <w:rFonts w:ascii="Arial" w:hAnsi="Arial" w:cs="Arial"/>
                <w:b/>
              </w:rPr>
              <w:t xml:space="preserve"> on groups with protected characteristics. </w:t>
            </w:r>
          </w:p>
          <w:p w14:paraId="685F817D" w14:textId="68703119" w:rsidR="004D785A" w:rsidRDefault="004D785A" w:rsidP="004D785A">
            <w:pPr>
              <w:pStyle w:val="ListParagraph"/>
              <w:rPr>
                <w:rFonts w:ascii="Arial" w:hAnsi="Arial" w:cs="Arial"/>
                <w:b/>
              </w:rPr>
            </w:pPr>
            <w:r w:rsidRPr="004D785A">
              <w:rPr>
                <w:rFonts w:ascii="Arial" w:hAnsi="Arial" w:cs="Arial"/>
                <w:b/>
              </w:rPr>
              <w:t xml:space="preserve">Protected characteristics are: age, disability, gender reassignment, marriage </w:t>
            </w:r>
            <w:r>
              <w:rPr>
                <w:rFonts w:ascii="Arial" w:hAnsi="Arial" w:cs="Arial"/>
                <w:b/>
              </w:rPr>
              <w:t>&amp;</w:t>
            </w:r>
            <w:r w:rsidRPr="004D78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civil partnership, pregnancy &amp;</w:t>
            </w:r>
            <w:r w:rsidRPr="004D785A">
              <w:rPr>
                <w:rFonts w:ascii="Arial" w:hAnsi="Arial" w:cs="Arial"/>
                <w:b/>
              </w:rPr>
              <w:t xml:space="preserve"> maternity, race, religion </w:t>
            </w:r>
            <w:r>
              <w:rPr>
                <w:rFonts w:ascii="Arial" w:hAnsi="Arial" w:cs="Arial"/>
                <w:b/>
              </w:rPr>
              <w:t>&amp;</w:t>
            </w:r>
            <w:r w:rsidRPr="004D785A">
              <w:rPr>
                <w:rFonts w:ascii="Arial" w:hAnsi="Arial" w:cs="Arial"/>
                <w:b/>
              </w:rPr>
              <w:t xml:space="preserve"> belief, sex, and sexual orientation.</w:t>
            </w:r>
          </w:p>
          <w:p w14:paraId="33186F37" w14:textId="77777777" w:rsidR="00047FA3" w:rsidRDefault="00047FA3" w:rsidP="004D785A">
            <w:pPr>
              <w:pStyle w:val="ListParagraph"/>
              <w:rPr>
                <w:rFonts w:ascii="Arial" w:hAnsi="Arial" w:cs="Arial"/>
                <w:b/>
              </w:rPr>
            </w:pPr>
          </w:p>
          <w:p w14:paraId="59BC08E3" w14:textId="77777777" w:rsidR="004D785A" w:rsidRDefault="00047FA3" w:rsidP="00047FA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047FA3">
              <w:rPr>
                <w:rFonts w:ascii="Arial" w:hAnsi="Arial" w:cs="Arial"/>
                <w:b/>
              </w:rPr>
              <w:t>Do you think that the proposals in this consultation will</w:t>
            </w:r>
            <w:r>
              <w:rPr>
                <w:rFonts w:ascii="Arial" w:hAnsi="Arial" w:cs="Arial"/>
                <w:b/>
              </w:rPr>
              <w:t xml:space="preserve"> have any </w:t>
            </w:r>
            <w:r w:rsidRPr="00047FA3">
              <w:rPr>
                <w:rFonts w:ascii="Arial" w:hAnsi="Arial" w:cs="Arial"/>
                <w:b/>
              </w:rPr>
              <w:t>positive impacts on groups with prote</w:t>
            </w:r>
            <w:r>
              <w:rPr>
                <w:rFonts w:ascii="Arial" w:hAnsi="Arial" w:cs="Arial"/>
                <w:b/>
              </w:rPr>
              <w:t xml:space="preserve">cted characteristics? If so, </w:t>
            </w:r>
            <w:r>
              <w:rPr>
                <w:rFonts w:ascii="Arial" w:hAnsi="Arial" w:cs="Arial"/>
                <w:b/>
              </w:rPr>
              <w:tab/>
            </w:r>
            <w:r w:rsidRPr="00047FA3">
              <w:rPr>
                <w:rFonts w:ascii="Arial" w:hAnsi="Arial" w:cs="Arial"/>
                <w:b/>
              </w:rPr>
              <w:t>which and why/why not?</w:t>
            </w:r>
          </w:p>
          <w:p w14:paraId="0AC31DA1" w14:textId="3427A027" w:rsidR="00047FA3" w:rsidRPr="004D785A" w:rsidRDefault="00047FA3" w:rsidP="00047FA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047FA3">
              <w:rPr>
                <w:rFonts w:ascii="Arial" w:hAnsi="Arial" w:cs="Arial"/>
                <w:b/>
              </w:rPr>
              <w:t>Do you think that the proposals in thi</w:t>
            </w:r>
            <w:r>
              <w:rPr>
                <w:rFonts w:ascii="Arial" w:hAnsi="Arial" w:cs="Arial"/>
                <w:b/>
              </w:rPr>
              <w:t xml:space="preserve">s consultation will have any </w:t>
            </w:r>
            <w:r w:rsidRPr="00047FA3">
              <w:rPr>
                <w:rFonts w:ascii="Arial" w:hAnsi="Arial" w:cs="Arial"/>
                <w:b/>
              </w:rPr>
              <w:t>negative impacts on groups with prote</w:t>
            </w:r>
            <w:r>
              <w:rPr>
                <w:rFonts w:ascii="Arial" w:hAnsi="Arial" w:cs="Arial"/>
                <w:b/>
              </w:rPr>
              <w:t xml:space="preserve">cted characteristics? If so, </w:t>
            </w:r>
            <w:r w:rsidRPr="00047FA3">
              <w:rPr>
                <w:rFonts w:ascii="Arial" w:hAnsi="Arial" w:cs="Arial"/>
                <w:b/>
              </w:rPr>
              <w:t>which and why/why not?</w:t>
            </w:r>
          </w:p>
        </w:tc>
      </w:tr>
      <w:tr w:rsidR="004D785A" w14:paraId="0749C017" w14:textId="77777777" w:rsidTr="007D354C">
        <w:tc>
          <w:tcPr>
            <w:tcW w:w="9345" w:type="dxa"/>
            <w:shd w:val="clear" w:color="auto" w:fill="FFFFFF" w:themeFill="background1"/>
          </w:tcPr>
          <w:p w14:paraId="1356BA93" w14:textId="77777777" w:rsidR="004D785A" w:rsidRDefault="004D785A" w:rsidP="007D354C">
            <w:pPr>
              <w:pStyle w:val="ListParagraph"/>
              <w:rPr>
                <w:rFonts w:ascii="Arial" w:hAnsi="Arial" w:cs="Arial"/>
                <w:b/>
              </w:rPr>
            </w:pPr>
          </w:p>
          <w:p w14:paraId="19F7AF3E" w14:textId="6FF20A3D" w:rsidR="004D785A" w:rsidRPr="004E31D0" w:rsidRDefault="004D785A" w:rsidP="004E31D0">
            <w:pPr>
              <w:pStyle w:val="ListParagraph"/>
              <w:rPr>
                <w:rFonts w:ascii="Arial" w:hAnsi="Arial" w:cs="Arial"/>
                <w:color w:val="A6A6A6" w:themeColor="background1" w:themeShade="A6"/>
              </w:rPr>
            </w:pPr>
            <w:r w:rsidRPr="006E741B">
              <w:rPr>
                <w:rFonts w:ascii="Arial" w:hAnsi="Arial" w:cs="Arial"/>
                <w:color w:val="A6A6A6" w:themeColor="background1" w:themeShade="A6"/>
              </w:rPr>
              <w:t>Your answer here</w:t>
            </w:r>
          </w:p>
          <w:p w14:paraId="4E0A96D8" w14:textId="77777777" w:rsidR="004D785A" w:rsidRPr="00B92ED9" w:rsidRDefault="004D785A" w:rsidP="007D354C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33A65B35" w14:textId="77777777" w:rsidR="004D785A" w:rsidRPr="001D3211" w:rsidRDefault="004D785A" w:rsidP="004C16E5">
      <w:pPr>
        <w:rPr>
          <w:rFonts w:ascii="Arial" w:hAnsi="Arial" w:cs="Arial"/>
        </w:rPr>
      </w:pPr>
    </w:p>
    <w:sectPr w:rsidR="004D785A" w:rsidRPr="001D3211" w:rsidSect="004E31D0">
      <w:pgSz w:w="11906" w:h="16838" w:code="9"/>
      <w:pgMar w:top="426" w:right="1418" w:bottom="284" w:left="1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2CCC7" w14:textId="77777777" w:rsidR="002751B1" w:rsidRDefault="002751B1" w:rsidP="004C16E5">
      <w:r>
        <w:separator/>
      </w:r>
    </w:p>
  </w:endnote>
  <w:endnote w:type="continuationSeparator" w:id="0">
    <w:p w14:paraId="11FA477A" w14:textId="77777777" w:rsidR="002751B1" w:rsidRDefault="002751B1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ACA56" w14:textId="77777777" w:rsidR="002751B1" w:rsidRDefault="002751B1" w:rsidP="004C16E5">
      <w:r>
        <w:separator/>
      </w:r>
    </w:p>
  </w:footnote>
  <w:footnote w:type="continuationSeparator" w:id="0">
    <w:p w14:paraId="27D29BBA" w14:textId="77777777" w:rsidR="002751B1" w:rsidRDefault="002751B1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E70"/>
    <w:multiLevelType w:val="hybridMultilevel"/>
    <w:tmpl w:val="EA08DBAC"/>
    <w:lvl w:ilvl="0" w:tplc="BB08C81C">
      <w:start w:val="1"/>
      <w:numFmt w:val="lowerRoman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28A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6" w15:restartNumberingAfterBreak="0">
    <w:nsid w:val="27286DF6"/>
    <w:multiLevelType w:val="hybridMultilevel"/>
    <w:tmpl w:val="3FFE7952"/>
    <w:lvl w:ilvl="0" w:tplc="4D260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58A8"/>
    <w:multiLevelType w:val="hybridMultilevel"/>
    <w:tmpl w:val="EC2E55B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E2D38"/>
    <w:multiLevelType w:val="hybridMultilevel"/>
    <w:tmpl w:val="E99E154C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D3222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237A7C"/>
    <w:multiLevelType w:val="hybridMultilevel"/>
    <w:tmpl w:val="7498686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17475"/>
    <w:multiLevelType w:val="hybridMultilevel"/>
    <w:tmpl w:val="DB4EFD38"/>
    <w:lvl w:ilvl="0" w:tplc="1BC81FD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D3B2C"/>
    <w:multiLevelType w:val="hybridMultilevel"/>
    <w:tmpl w:val="8AD466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F53D08"/>
    <w:multiLevelType w:val="hybridMultilevel"/>
    <w:tmpl w:val="E8BE78B4"/>
    <w:lvl w:ilvl="0" w:tplc="17100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4510E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0960F7"/>
    <w:multiLevelType w:val="hybridMultilevel"/>
    <w:tmpl w:val="79425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A7987"/>
    <w:multiLevelType w:val="hybridMultilevel"/>
    <w:tmpl w:val="EF96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62C52"/>
    <w:multiLevelType w:val="hybridMultilevel"/>
    <w:tmpl w:val="FC5E39F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5"/>
  </w:num>
  <w:num w:numId="4">
    <w:abstractNumId w:val="14"/>
  </w:num>
  <w:num w:numId="5">
    <w:abstractNumId w:val="16"/>
  </w:num>
  <w:num w:numId="6">
    <w:abstractNumId w:val="8"/>
  </w:num>
  <w:num w:numId="7">
    <w:abstractNumId w:val="18"/>
  </w:num>
  <w:num w:numId="8">
    <w:abstractNumId w:val="20"/>
  </w:num>
  <w:num w:numId="9">
    <w:abstractNumId w:val="4"/>
  </w:num>
  <w:num w:numId="10">
    <w:abstractNumId w:val="28"/>
  </w:num>
  <w:num w:numId="11">
    <w:abstractNumId w:val="19"/>
  </w:num>
  <w:num w:numId="12">
    <w:abstractNumId w:val="12"/>
  </w:num>
  <w:num w:numId="13">
    <w:abstractNumId w:val="21"/>
  </w:num>
  <w:num w:numId="14">
    <w:abstractNumId w:val="1"/>
  </w:num>
  <w:num w:numId="15">
    <w:abstractNumId w:val="10"/>
  </w:num>
  <w:num w:numId="16">
    <w:abstractNumId w:val="7"/>
  </w:num>
  <w:num w:numId="17">
    <w:abstractNumId w:val="11"/>
  </w:num>
  <w:num w:numId="18">
    <w:abstractNumId w:val="3"/>
  </w:num>
  <w:num w:numId="19">
    <w:abstractNumId w:val="31"/>
  </w:num>
  <w:num w:numId="20">
    <w:abstractNumId w:val="26"/>
  </w:num>
  <w:num w:numId="21">
    <w:abstractNumId w:val="33"/>
  </w:num>
  <w:num w:numId="22">
    <w:abstractNumId w:val="9"/>
  </w:num>
  <w:num w:numId="23">
    <w:abstractNumId w:val="27"/>
  </w:num>
  <w:num w:numId="24">
    <w:abstractNumId w:val="25"/>
  </w:num>
  <w:num w:numId="25">
    <w:abstractNumId w:val="15"/>
  </w:num>
  <w:num w:numId="26">
    <w:abstractNumId w:val="34"/>
  </w:num>
  <w:num w:numId="27">
    <w:abstractNumId w:val="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4"/>
  </w:num>
  <w:num w:numId="31">
    <w:abstractNumId w:val="2"/>
  </w:num>
  <w:num w:numId="32">
    <w:abstractNumId w:val="29"/>
  </w:num>
  <w:num w:numId="33">
    <w:abstractNumId w:val="23"/>
  </w:num>
  <w:num w:numId="34">
    <w:abstractNumId w:val="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31B00"/>
    <w:rsid w:val="00047FA3"/>
    <w:rsid w:val="00095391"/>
    <w:rsid w:val="000A6554"/>
    <w:rsid w:val="000D5E69"/>
    <w:rsid w:val="000F6510"/>
    <w:rsid w:val="00105C85"/>
    <w:rsid w:val="00107C16"/>
    <w:rsid w:val="00114481"/>
    <w:rsid w:val="00123896"/>
    <w:rsid w:val="00156964"/>
    <w:rsid w:val="001971CB"/>
    <w:rsid w:val="001B6A61"/>
    <w:rsid w:val="001C29FF"/>
    <w:rsid w:val="001C36D3"/>
    <w:rsid w:val="001D3211"/>
    <w:rsid w:val="002002D9"/>
    <w:rsid w:val="00224C77"/>
    <w:rsid w:val="002751B1"/>
    <w:rsid w:val="0029196D"/>
    <w:rsid w:val="002947D4"/>
    <w:rsid w:val="00297F7B"/>
    <w:rsid w:val="002D2C55"/>
    <w:rsid w:val="002D3ACD"/>
    <w:rsid w:val="002D74A9"/>
    <w:rsid w:val="00304B87"/>
    <w:rsid w:val="00304EAD"/>
    <w:rsid w:val="0036168C"/>
    <w:rsid w:val="00366FC0"/>
    <w:rsid w:val="0039619B"/>
    <w:rsid w:val="00407546"/>
    <w:rsid w:val="00410322"/>
    <w:rsid w:val="00413AA4"/>
    <w:rsid w:val="00417FCB"/>
    <w:rsid w:val="004209EC"/>
    <w:rsid w:val="00462825"/>
    <w:rsid w:val="00491248"/>
    <w:rsid w:val="00494A04"/>
    <w:rsid w:val="004C16E5"/>
    <w:rsid w:val="004D785A"/>
    <w:rsid w:val="004E31D0"/>
    <w:rsid w:val="004E73D4"/>
    <w:rsid w:val="004F28C4"/>
    <w:rsid w:val="00507D38"/>
    <w:rsid w:val="00516C57"/>
    <w:rsid w:val="005267D0"/>
    <w:rsid w:val="00532D46"/>
    <w:rsid w:val="00555AC7"/>
    <w:rsid w:val="005616C7"/>
    <w:rsid w:val="00562E70"/>
    <w:rsid w:val="00566219"/>
    <w:rsid w:val="00570ED3"/>
    <w:rsid w:val="00576B68"/>
    <w:rsid w:val="00583E43"/>
    <w:rsid w:val="005A3A1F"/>
    <w:rsid w:val="005A56DF"/>
    <w:rsid w:val="005B21A5"/>
    <w:rsid w:val="005C5785"/>
    <w:rsid w:val="005D157D"/>
    <w:rsid w:val="0060322F"/>
    <w:rsid w:val="00610B7A"/>
    <w:rsid w:val="00635C87"/>
    <w:rsid w:val="00637026"/>
    <w:rsid w:val="00637A9C"/>
    <w:rsid w:val="0064481D"/>
    <w:rsid w:val="006832A3"/>
    <w:rsid w:val="006A74FE"/>
    <w:rsid w:val="006D2C83"/>
    <w:rsid w:val="006D41D1"/>
    <w:rsid w:val="006E0BBC"/>
    <w:rsid w:val="006E611E"/>
    <w:rsid w:val="006E741B"/>
    <w:rsid w:val="00705CC1"/>
    <w:rsid w:val="00767422"/>
    <w:rsid w:val="00783225"/>
    <w:rsid w:val="007A0125"/>
    <w:rsid w:val="007A2FE2"/>
    <w:rsid w:val="007D7D82"/>
    <w:rsid w:val="007F06AA"/>
    <w:rsid w:val="007F1882"/>
    <w:rsid w:val="00805854"/>
    <w:rsid w:val="00806B99"/>
    <w:rsid w:val="00820931"/>
    <w:rsid w:val="008312DC"/>
    <w:rsid w:val="008336B8"/>
    <w:rsid w:val="00847829"/>
    <w:rsid w:val="00876394"/>
    <w:rsid w:val="008812C3"/>
    <w:rsid w:val="00885EE2"/>
    <w:rsid w:val="0089746F"/>
    <w:rsid w:val="008C2F42"/>
    <w:rsid w:val="008E3F68"/>
    <w:rsid w:val="008F3780"/>
    <w:rsid w:val="008F7563"/>
    <w:rsid w:val="0092089D"/>
    <w:rsid w:val="0096702A"/>
    <w:rsid w:val="009742DD"/>
    <w:rsid w:val="009A7CAC"/>
    <w:rsid w:val="009B0231"/>
    <w:rsid w:val="009C02DC"/>
    <w:rsid w:val="009C2B1A"/>
    <w:rsid w:val="00A50354"/>
    <w:rsid w:val="00A50D0B"/>
    <w:rsid w:val="00A5601C"/>
    <w:rsid w:val="00A577B4"/>
    <w:rsid w:val="00A71AED"/>
    <w:rsid w:val="00A75985"/>
    <w:rsid w:val="00A9741B"/>
    <w:rsid w:val="00AC0568"/>
    <w:rsid w:val="00AC1782"/>
    <w:rsid w:val="00AD6389"/>
    <w:rsid w:val="00AE32BD"/>
    <w:rsid w:val="00AF59A6"/>
    <w:rsid w:val="00B116C3"/>
    <w:rsid w:val="00B133B7"/>
    <w:rsid w:val="00B15131"/>
    <w:rsid w:val="00B23406"/>
    <w:rsid w:val="00B440E5"/>
    <w:rsid w:val="00B650E6"/>
    <w:rsid w:val="00B728FE"/>
    <w:rsid w:val="00BF146F"/>
    <w:rsid w:val="00BF2C62"/>
    <w:rsid w:val="00BF7F1E"/>
    <w:rsid w:val="00C023E3"/>
    <w:rsid w:val="00C11A92"/>
    <w:rsid w:val="00C15D5C"/>
    <w:rsid w:val="00C53B59"/>
    <w:rsid w:val="00C54495"/>
    <w:rsid w:val="00C644EC"/>
    <w:rsid w:val="00C96D94"/>
    <w:rsid w:val="00CE1B7C"/>
    <w:rsid w:val="00CE518F"/>
    <w:rsid w:val="00CF5289"/>
    <w:rsid w:val="00D00E9C"/>
    <w:rsid w:val="00D00F0D"/>
    <w:rsid w:val="00D0167F"/>
    <w:rsid w:val="00D043E4"/>
    <w:rsid w:val="00D20905"/>
    <w:rsid w:val="00D30E2C"/>
    <w:rsid w:val="00D3210E"/>
    <w:rsid w:val="00D348B2"/>
    <w:rsid w:val="00D350FB"/>
    <w:rsid w:val="00D454F9"/>
    <w:rsid w:val="00D54645"/>
    <w:rsid w:val="00D75891"/>
    <w:rsid w:val="00D8021C"/>
    <w:rsid w:val="00DA2162"/>
    <w:rsid w:val="00DB7DBC"/>
    <w:rsid w:val="00DD41DE"/>
    <w:rsid w:val="00DE4271"/>
    <w:rsid w:val="00DE5573"/>
    <w:rsid w:val="00DE7D5C"/>
    <w:rsid w:val="00E020DB"/>
    <w:rsid w:val="00E52C3A"/>
    <w:rsid w:val="00E62973"/>
    <w:rsid w:val="00E65517"/>
    <w:rsid w:val="00E677FD"/>
    <w:rsid w:val="00E748B6"/>
    <w:rsid w:val="00E774B5"/>
    <w:rsid w:val="00E921F1"/>
    <w:rsid w:val="00EB2266"/>
    <w:rsid w:val="00EB766C"/>
    <w:rsid w:val="00ED28E5"/>
    <w:rsid w:val="00EF04AB"/>
    <w:rsid w:val="00EF58BD"/>
    <w:rsid w:val="00EF7ADE"/>
    <w:rsid w:val="00F004E2"/>
    <w:rsid w:val="00F06E50"/>
    <w:rsid w:val="00F07CFF"/>
    <w:rsid w:val="00F1425B"/>
    <w:rsid w:val="00F33BA3"/>
    <w:rsid w:val="00F4335F"/>
    <w:rsid w:val="00F53051"/>
    <w:rsid w:val="00F625DF"/>
    <w:rsid w:val="00F65D3B"/>
    <w:rsid w:val="00F666B5"/>
    <w:rsid w:val="00F67E09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  <w15:docId w15:val="{4F9F3F0B-C5D8-4BE3-BD8C-1FF56518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CommentText">
    <w:name w:val="annotation text"/>
    <w:basedOn w:val="Normal"/>
    <w:link w:val="CommentTextChar"/>
    <w:uiPriority w:val="99"/>
    <w:semiHidden/>
    <w:unhideWhenUsed/>
    <w:rsid w:val="00F43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43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335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A31385526</value>
    </field>
    <field name="Objective-Title">
      <value order="0">20200910 Consultation response form - Revised Statutory guidance for Nurse Staffing Levels (Wales) Act 2016</value>
    </field>
    <field name="Objective-Description">
      <value order="0"/>
    </field>
    <field name="Objective-CreationStamp">
      <value order="0">2020-08-25T10:31:10Z</value>
    </field>
    <field name="Objective-IsApproved">
      <value order="0">false</value>
    </field>
    <field name="Objective-IsPublished">
      <value order="0">true</value>
    </field>
    <field name="Objective-DatePublished">
      <value order="0">2020-09-10T14:08:32Z</value>
    </field>
    <field name="Objective-ModificationStamp">
      <value order="0">2020-09-10T14:08:32Z</value>
    </field>
    <field name="Objective-Owner">
      <value order="0">Williams, Hywel (HSS - Office of the Chief Nursing Officer)</value>
    </field>
    <field name="Objective-Path">
      <value order="0">Objective Global Folder:Business File Plan:Health &amp; Social Services (HSS):Health &amp; Social Services (HSS) - Nursing Directorate:1 - Save:LHB Quality Resources &amp; Monitoring / Staffing:Nurse Staffing Levels - Statutory Work:Nursing Directorate - Regulations to extend Nurse Staffing Levels Act to Paediatrics - 2019-2021:Consultation</value>
    </field>
    <field name="Objective-Parent">
      <value order="0">Consultation</value>
    </field>
    <field name="Objective-State">
      <value order="0">Published</value>
    </field>
    <field name="Objective-VersionId">
      <value order="0">vA62416091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qA1412901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2020-08-24T23:00:00Z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2bd129ef475dbdc8e8cba0750bdc5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4bbafece508b3fdc40366b566e878c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2B595-52E8-4AFA-907A-E41D79090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E178A129-3829-4D81-80BE-FBF0EB3AE20B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B4B4F9-991E-4DB0-8B78-F6F0FBF6C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8F6AB5-E58E-44D7-8985-04E80226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 Government</dc:creator>
  <cp:keywords/>
  <dc:description/>
  <cp:lastModifiedBy>Norman, Richard (HSS - Communications)</cp:lastModifiedBy>
  <cp:revision>2</cp:revision>
  <cp:lastPrinted>2018-05-04T07:47:00Z</cp:lastPrinted>
  <dcterms:created xsi:type="dcterms:W3CDTF">2020-09-10T14:28:00Z</dcterms:created>
  <dcterms:modified xsi:type="dcterms:W3CDTF">2020-09-10T14:28:00Z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rder">
    <vt:r8>100</vt:r8>
  </property>
  <property fmtid="{D5CDD505-2E9C-101B-9397-08002B2CF9AE}" pid="4" name="Objective-Id">
    <vt:lpwstr>A31385526</vt:lpwstr>
  </property>
  <property fmtid="{D5CDD505-2E9C-101B-9397-08002B2CF9AE}" pid="5" name="Objective-Title">
    <vt:lpwstr>20200910 Consultation response form - Revised Statutory guidance for Nurse Staffing Levels (Wales) Act 2016</vt:lpwstr>
  </property>
  <property fmtid="{D5CDD505-2E9C-101B-9397-08002B2CF9AE}" pid="6" name="Objective-Description">
    <vt:lpwstr/>
  </property>
  <property fmtid="{D5CDD505-2E9C-101B-9397-08002B2CF9AE}" pid="7" name="Objective-CreationStamp">
    <vt:filetime>2020-09-10T13:59:21Z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2020-09-10T14:08:32Z</vt:filetime>
  </property>
  <property fmtid="{D5CDD505-2E9C-101B-9397-08002B2CF9AE}" pid="11" name="Objective-ModificationStamp">
    <vt:filetime>2020-09-10T14:08:32Z</vt:filetime>
  </property>
  <property fmtid="{D5CDD505-2E9C-101B-9397-08002B2CF9AE}" pid="12" name="Objective-Owner">
    <vt:lpwstr>Williams, Hywel (HSS - Office of the Chief Nursing Officer)</vt:lpwstr>
  </property>
  <property fmtid="{D5CDD505-2E9C-101B-9397-08002B2CF9AE}" pid="13" name="Objective-Path">
    <vt:lpwstr>Objective Global Folder:Business File Plan:Health &amp; Social Services (HSS):Health &amp; Social Services (HSS) - Nursing Directorate:1 - Save:LHB Quality Resources &amp; Monitoring / Staffing:Nurse Staffing Levels - Statutory Work:Nursing Directorate - Regulations </vt:lpwstr>
  </property>
  <property fmtid="{D5CDD505-2E9C-101B-9397-08002B2CF9AE}" pid="14" name="Objective-Parent">
    <vt:lpwstr>Consultation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vA62416091</vt:lpwstr>
  </property>
  <property fmtid="{D5CDD505-2E9C-101B-9397-08002B2CF9AE}" pid="17" name="Objective-Version">
    <vt:lpwstr>3.0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Official]</vt:lpwstr>
  </property>
  <property fmtid="{D5CDD505-2E9C-101B-9397-08002B2CF9AE}" pid="22" name="Objective-Caveats">
    <vt:lpwstr/>
  </property>
  <property fmtid="{D5CDD505-2E9C-101B-9397-08002B2CF9AE}" pid="23" name="Objective-Language">
    <vt:lpwstr>English (eng)</vt:lpwstr>
  </property>
  <property fmtid="{D5CDD505-2E9C-101B-9397-08002B2CF9AE}" pid="24" name="Objective-Date Acquired">
    <vt:filetime>2020-08-24T23:00:00Z</vt:filetime>
  </property>
  <property fmtid="{D5CDD505-2E9C-101B-9397-08002B2CF9AE}" pid="25" name="Objective-What to Keep">
    <vt:lpwstr>No</vt:lpwstr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  <property fmtid="{D5CDD505-2E9C-101B-9397-08002B2CF9AE}" pid="28" name="Objective-Comment">
    <vt:lpwstr/>
  </property>
</Properties>
</file>