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B4" w:rsidRDefault="00487FB8">
      <w:pPr>
        <w:rPr>
          <w:rFonts w:ascii="Arial" w:hAnsi="Arial" w:cs="Arial"/>
        </w:rPr>
      </w:pPr>
      <w:bookmarkStart w:id="0" w:name="_GoBack"/>
      <w:bookmarkEnd w:id="0"/>
    </w:p>
    <w:p w:rsidR="00933069" w:rsidRPr="001A3593" w:rsidRDefault="00933069" w:rsidP="00933069">
      <w:pPr>
        <w:rPr>
          <w:rFonts w:ascii="Arial" w:hAnsi="Arial" w:cs="Arial"/>
          <w:sz w:val="40"/>
          <w:szCs w:val="40"/>
        </w:rPr>
      </w:pPr>
      <w:r w:rsidRPr="001A3593">
        <w:rPr>
          <w:rFonts w:ascii="Arial" w:hAnsi="Arial" w:cs="Arial"/>
          <w:sz w:val="40"/>
          <w:szCs w:val="40"/>
        </w:rPr>
        <w:t xml:space="preserve">A technical consultation on draft </w:t>
      </w:r>
    </w:p>
    <w:p w:rsidR="00933069" w:rsidRPr="001A3593" w:rsidRDefault="00933069" w:rsidP="00933069">
      <w:pPr>
        <w:rPr>
          <w:rFonts w:ascii="Arial" w:hAnsi="Arial" w:cs="Arial"/>
          <w:sz w:val="40"/>
          <w:szCs w:val="40"/>
        </w:rPr>
      </w:pPr>
      <w:r w:rsidRPr="001A3593">
        <w:rPr>
          <w:rFonts w:ascii="Arial" w:hAnsi="Arial" w:cs="Arial"/>
          <w:sz w:val="40"/>
          <w:szCs w:val="40"/>
        </w:rPr>
        <w:t xml:space="preserve">Non-Domestic Rating (Unoccupied Property) </w:t>
      </w:r>
    </w:p>
    <w:p w:rsidR="00933069" w:rsidRPr="001A3593" w:rsidRDefault="00933069" w:rsidP="00933069">
      <w:pPr>
        <w:rPr>
          <w:rFonts w:ascii="Arial" w:hAnsi="Arial" w:cs="Arial"/>
        </w:rPr>
      </w:pPr>
      <w:r w:rsidRPr="001A3593">
        <w:rPr>
          <w:rFonts w:ascii="Arial" w:hAnsi="Arial" w:cs="Arial"/>
          <w:sz w:val="40"/>
          <w:szCs w:val="40"/>
        </w:rPr>
        <w:t>(Wales) (Amendment) Regulations 2020</w:t>
      </w:r>
    </w:p>
    <w:p w:rsidR="00933069" w:rsidRDefault="00933069">
      <w:pPr>
        <w:rPr>
          <w:rFonts w:ascii="Arial" w:hAnsi="Arial" w:cs="Arial"/>
        </w:rPr>
      </w:pPr>
    </w:p>
    <w:p w:rsidR="00933069" w:rsidRDefault="00933069">
      <w:pPr>
        <w:rPr>
          <w:rFonts w:ascii="Arial" w:hAnsi="Arial" w:cs="Arial"/>
        </w:rPr>
      </w:pPr>
    </w:p>
    <w:p w:rsidR="00933069" w:rsidRPr="001A3593" w:rsidRDefault="00933069" w:rsidP="00933069">
      <w:pPr>
        <w:pStyle w:val="Heading1"/>
        <w:spacing w:line="240" w:lineRule="auto"/>
        <w:rPr>
          <w:rFonts w:cs="Arial"/>
          <w:color w:val="auto"/>
        </w:rPr>
      </w:pPr>
      <w:bookmarkStart w:id="1" w:name="_Toc515976653"/>
      <w:bookmarkStart w:id="2" w:name="_Toc17363254"/>
      <w:r w:rsidRPr="001A3593">
        <w:rPr>
          <w:rFonts w:cs="Arial"/>
          <w:color w:val="auto"/>
        </w:rPr>
        <w:t>CONSULTATION RESPONSE FORM</w:t>
      </w:r>
      <w:bookmarkEnd w:id="1"/>
      <w:bookmarkEnd w:id="2"/>
    </w:p>
    <w:p w:rsidR="00933069" w:rsidRPr="001A3593" w:rsidRDefault="00933069" w:rsidP="00933069">
      <w:pPr>
        <w:rPr>
          <w:rFonts w:ascii="Arial"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47"/>
        <w:gridCol w:w="5669"/>
      </w:tblGrid>
      <w:tr w:rsidR="00933069" w:rsidRPr="001A3593" w:rsidTr="00C321EC">
        <w:trPr>
          <w:cantSplit/>
        </w:trPr>
        <w:tc>
          <w:tcPr>
            <w:tcW w:w="3402" w:type="dxa"/>
            <w:shd w:val="clear" w:color="auto" w:fill="auto"/>
          </w:tcPr>
          <w:p w:rsidR="00933069" w:rsidRPr="001A3593" w:rsidRDefault="00933069" w:rsidP="00C321EC">
            <w:pPr>
              <w:rPr>
                <w:rFonts w:ascii="Arial" w:hAnsi="Arial" w:cs="Arial"/>
              </w:rPr>
            </w:pPr>
            <w:r w:rsidRPr="001A3593">
              <w:rPr>
                <w:rFonts w:ascii="Arial" w:hAnsi="Arial" w:cs="Arial"/>
              </w:rPr>
              <w:t>Your name:</w:t>
            </w:r>
            <w:r w:rsidRPr="001A3593">
              <w:rPr>
                <w:rFonts w:ascii="Arial" w:hAnsi="Arial" w:cs="Arial"/>
              </w:rPr>
              <w:tab/>
            </w:r>
          </w:p>
          <w:p w:rsidR="00933069" w:rsidRPr="001A3593" w:rsidRDefault="00933069" w:rsidP="00C321EC">
            <w:pPr>
              <w:rPr>
                <w:rFonts w:ascii="Arial" w:hAnsi="Arial" w:cs="Arial"/>
              </w:rPr>
            </w:pPr>
          </w:p>
        </w:tc>
        <w:tc>
          <w:tcPr>
            <w:tcW w:w="5840" w:type="dxa"/>
            <w:shd w:val="clear" w:color="auto" w:fill="auto"/>
          </w:tcPr>
          <w:p w:rsidR="00933069" w:rsidRPr="001A3593" w:rsidRDefault="00933069" w:rsidP="00C321EC">
            <w:pPr>
              <w:rPr>
                <w:rFonts w:ascii="Arial" w:hAnsi="Arial" w:cs="Arial"/>
              </w:rPr>
            </w:pPr>
          </w:p>
        </w:tc>
      </w:tr>
      <w:tr w:rsidR="00933069" w:rsidRPr="001A3593" w:rsidTr="00C321EC">
        <w:trPr>
          <w:cantSplit/>
        </w:trPr>
        <w:tc>
          <w:tcPr>
            <w:tcW w:w="3402" w:type="dxa"/>
            <w:shd w:val="clear" w:color="auto" w:fill="auto"/>
          </w:tcPr>
          <w:p w:rsidR="00933069" w:rsidRPr="001A3593" w:rsidRDefault="00933069" w:rsidP="00C321EC">
            <w:pPr>
              <w:rPr>
                <w:rFonts w:ascii="Arial" w:hAnsi="Arial" w:cs="Arial"/>
              </w:rPr>
            </w:pPr>
            <w:r w:rsidRPr="001A3593">
              <w:rPr>
                <w:rFonts w:ascii="Arial" w:hAnsi="Arial" w:cs="Arial"/>
              </w:rPr>
              <w:t>Organisation (if applicable):</w:t>
            </w:r>
          </w:p>
        </w:tc>
        <w:tc>
          <w:tcPr>
            <w:tcW w:w="5840" w:type="dxa"/>
            <w:shd w:val="clear" w:color="auto" w:fill="auto"/>
          </w:tcPr>
          <w:p w:rsidR="00933069" w:rsidRPr="001A3593" w:rsidRDefault="00933069" w:rsidP="00C321EC">
            <w:pPr>
              <w:rPr>
                <w:rFonts w:ascii="Arial" w:hAnsi="Arial" w:cs="Arial"/>
              </w:rPr>
            </w:pPr>
          </w:p>
          <w:p w:rsidR="00933069" w:rsidRPr="001A3593" w:rsidRDefault="00933069" w:rsidP="00C321EC">
            <w:pPr>
              <w:rPr>
                <w:rFonts w:ascii="Arial" w:hAnsi="Arial" w:cs="Arial"/>
              </w:rPr>
            </w:pPr>
          </w:p>
          <w:p w:rsidR="00933069" w:rsidRPr="001A3593" w:rsidRDefault="00933069" w:rsidP="00C321EC">
            <w:pPr>
              <w:rPr>
                <w:rFonts w:ascii="Arial" w:hAnsi="Arial" w:cs="Arial"/>
              </w:rPr>
            </w:pPr>
          </w:p>
          <w:p w:rsidR="00933069" w:rsidRPr="001A3593" w:rsidRDefault="00933069" w:rsidP="00C321EC">
            <w:pPr>
              <w:rPr>
                <w:rFonts w:ascii="Arial" w:hAnsi="Arial" w:cs="Arial"/>
              </w:rPr>
            </w:pPr>
          </w:p>
        </w:tc>
      </w:tr>
      <w:tr w:rsidR="00933069" w:rsidRPr="001A3593" w:rsidTr="00C321EC">
        <w:trPr>
          <w:cantSplit/>
        </w:trPr>
        <w:tc>
          <w:tcPr>
            <w:tcW w:w="3402" w:type="dxa"/>
            <w:shd w:val="clear" w:color="auto" w:fill="auto"/>
          </w:tcPr>
          <w:p w:rsidR="00933069" w:rsidRPr="001A3593" w:rsidRDefault="00933069" w:rsidP="00C321EC">
            <w:pPr>
              <w:rPr>
                <w:rFonts w:ascii="Arial" w:hAnsi="Arial" w:cs="Arial"/>
              </w:rPr>
            </w:pPr>
            <w:r w:rsidRPr="001A3593">
              <w:rPr>
                <w:rFonts w:ascii="Arial" w:hAnsi="Arial" w:cs="Arial"/>
              </w:rPr>
              <w:t>Email / Telephone number:</w:t>
            </w:r>
          </w:p>
          <w:p w:rsidR="00933069" w:rsidRPr="001A3593" w:rsidRDefault="00933069" w:rsidP="00C321EC">
            <w:pPr>
              <w:rPr>
                <w:rFonts w:ascii="Arial" w:hAnsi="Arial" w:cs="Arial"/>
              </w:rPr>
            </w:pPr>
          </w:p>
        </w:tc>
        <w:tc>
          <w:tcPr>
            <w:tcW w:w="5840" w:type="dxa"/>
            <w:shd w:val="clear" w:color="auto" w:fill="auto"/>
          </w:tcPr>
          <w:p w:rsidR="00933069" w:rsidRPr="001A3593" w:rsidRDefault="00933069" w:rsidP="00C321EC">
            <w:pPr>
              <w:rPr>
                <w:rFonts w:ascii="Arial" w:hAnsi="Arial" w:cs="Arial"/>
              </w:rPr>
            </w:pPr>
          </w:p>
        </w:tc>
      </w:tr>
      <w:tr w:rsidR="00933069" w:rsidRPr="001A3593" w:rsidTr="00C321EC">
        <w:trPr>
          <w:cantSplit/>
          <w:trHeight w:val="834"/>
        </w:trPr>
        <w:tc>
          <w:tcPr>
            <w:tcW w:w="3402" w:type="dxa"/>
            <w:shd w:val="clear" w:color="auto" w:fill="auto"/>
          </w:tcPr>
          <w:p w:rsidR="00933069" w:rsidRPr="001A3593" w:rsidRDefault="00933069" w:rsidP="00C321EC">
            <w:pPr>
              <w:rPr>
                <w:rFonts w:ascii="Arial" w:hAnsi="Arial" w:cs="Arial"/>
              </w:rPr>
            </w:pPr>
            <w:r w:rsidRPr="001A3593">
              <w:rPr>
                <w:rFonts w:ascii="Arial" w:hAnsi="Arial" w:cs="Arial"/>
              </w:rPr>
              <w:lastRenderedPageBreak/>
              <w:t>Your address:</w:t>
            </w:r>
          </w:p>
        </w:tc>
        <w:tc>
          <w:tcPr>
            <w:tcW w:w="5840" w:type="dxa"/>
            <w:shd w:val="clear" w:color="auto" w:fill="auto"/>
          </w:tcPr>
          <w:p w:rsidR="00933069" w:rsidRPr="001A3593" w:rsidRDefault="00933069" w:rsidP="00C321EC">
            <w:pPr>
              <w:rPr>
                <w:rFonts w:ascii="Arial" w:hAnsi="Arial" w:cs="Arial"/>
              </w:rPr>
            </w:pPr>
          </w:p>
          <w:p w:rsidR="00933069" w:rsidRPr="001A3593" w:rsidRDefault="00933069" w:rsidP="00C321EC">
            <w:pPr>
              <w:rPr>
                <w:rFonts w:ascii="Arial" w:hAnsi="Arial" w:cs="Arial"/>
              </w:rPr>
            </w:pPr>
          </w:p>
          <w:p w:rsidR="00933069" w:rsidRPr="001A3593" w:rsidRDefault="00933069" w:rsidP="00C321EC">
            <w:pPr>
              <w:rPr>
                <w:rFonts w:ascii="Arial" w:hAnsi="Arial" w:cs="Arial"/>
              </w:rPr>
            </w:pPr>
          </w:p>
          <w:p w:rsidR="00933069" w:rsidRPr="001A3593" w:rsidRDefault="00933069" w:rsidP="00C321EC">
            <w:pPr>
              <w:rPr>
                <w:rFonts w:ascii="Arial" w:hAnsi="Arial" w:cs="Arial"/>
              </w:rPr>
            </w:pPr>
          </w:p>
        </w:tc>
      </w:tr>
    </w:tbl>
    <w:p w:rsidR="00933069" w:rsidRPr="001A3593" w:rsidRDefault="00933069" w:rsidP="00933069">
      <w:pPr>
        <w:rPr>
          <w:rFonts w:ascii="Arial" w:eastAsia="Times New Roman" w:hAnsi="Arial" w:cs="Arial"/>
          <w:b/>
        </w:rPr>
      </w:pPr>
      <w:bookmarkStart w:id="3" w:name="_Toc515976654"/>
    </w:p>
    <w:p w:rsidR="00933069" w:rsidRPr="001A3593" w:rsidRDefault="00933069" w:rsidP="00933069">
      <w:pPr>
        <w:pStyle w:val="Heading2"/>
        <w:spacing w:line="240" w:lineRule="auto"/>
        <w:rPr>
          <w:color w:val="auto"/>
          <w:lang w:val="en-GB"/>
        </w:rPr>
      </w:pPr>
      <w:bookmarkStart w:id="4" w:name="_Toc17363255"/>
      <w:r w:rsidRPr="001A3593">
        <w:rPr>
          <w:color w:val="auto"/>
          <w:lang w:val="en-GB"/>
        </w:rPr>
        <w:t>Q</w:t>
      </w:r>
      <w:bookmarkEnd w:id="3"/>
      <w:r w:rsidRPr="001A3593">
        <w:rPr>
          <w:color w:val="auto"/>
          <w:lang w:val="en-GB"/>
        </w:rPr>
        <w:t>uestions</w:t>
      </w:r>
      <w:bookmarkEnd w:id="4"/>
    </w:p>
    <w:p w:rsidR="00933069" w:rsidRPr="001A3593" w:rsidRDefault="00933069" w:rsidP="00933069">
      <w:pPr>
        <w:rPr>
          <w:rFonts w:ascii="Arial" w:hAnsi="Arial" w:cs="Arial"/>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3"/>
      </w:tblGrid>
      <w:tr w:rsidR="00933069" w:rsidRPr="001A3593" w:rsidTr="00C321EC">
        <w:trPr>
          <w:cantSplit/>
          <w:trHeight w:val="283"/>
        </w:trPr>
        <w:tc>
          <w:tcPr>
            <w:tcW w:w="9263" w:type="dxa"/>
            <w:shd w:val="clear" w:color="auto" w:fill="auto"/>
          </w:tcPr>
          <w:p w:rsidR="00933069" w:rsidRPr="001A3593" w:rsidRDefault="00933069" w:rsidP="00933069">
            <w:pPr>
              <w:pStyle w:val="ListParagraph"/>
              <w:numPr>
                <w:ilvl w:val="0"/>
                <w:numId w:val="1"/>
              </w:numPr>
              <w:contextualSpacing w:val="0"/>
              <w:rPr>
                <w:rFonts w:ascii="Arial" w:hAnsi="Arial" w:cs="Arial"/>
                <w:b/>
              </w:rPr>
            </w:pPr>
            <w:r w:rsidRPr="001A3593">
              <w:rPr>
                <w:rFonts w:ascii="Arial" w:hAnsi="Arial" w:cs="Arial"/>
                <w:b/>
              </w:rPr>
              <w:t>Does the wording ‘26 weeks’ used to define the new permissible period of temporary occupation provide clarity?</w:t>
            </w:r>
            <w:r>
              <w:rPr>
                <w:rFonts w:ascii="Arial" w:hAnsi="Arial" w:cs="Arial"/>
                <w:b/>
              </w:rPr>
              <w:t xml:space="preserve"> </w:t>
            </w:r>
            <w:r w:rsidRPr="001A3593">
              <w:rPr>
                <w:rFonts w:ascii="Arial" w:hAnsi="Arial" w:cs="Arial"/>
                <w:b/>
              </w:rPr>
              <w:t xml:space="preserve"> If not, how can it be improved?</w:t>
            </w:r>
          </w:p>
        </w:tc>
      </w:tr>
      <w:tr w:rsidR="00933069" w:rsidRPr="001A3593" w:rsidTr="00C321EC">
        <w:trPr>
          <w:cantSplit/>
          <w:trHeight w:val="1134"/>
        </w:trPr>
        <w:tc>
          <w:tcPr>
            <w:tcW w:w="9263" w:type="dxa"/>
            <w:shd w:val="clear" w:color="auto" w:fill="auto"/>
          </w:tcPr>
          <w:p w:rsidR="00933069" w:rsidRPr="001D677F" w:rsidRDefault="00933069" w:rsidP="00C321EC">
            <w:pPr>
              <w:rPr>
                <w:rFonts w:ascii="Arial" w:hAnsi="Arial" w:cs="Arial"/>
                <w:b/>
              </w:rPr>
            </w:pPr>
          </w:p>
          <w:p w:rsidR="00933069" w:rsidRPr="001D677F" w:rsidRDefault="00933069" w:rsidP="00C321EC">
            <w:pPr>
              <w:rPr>
                <w:rFonts w:ascii="Arial" w:hAnsi="Arial" w:cs="Arial"/>
                <w:b/>
              </w:rPr>
            </w:pPr>
          </w:p>
        </w:tc>
      </w:tr>
      <w:tr w:rsidR="00933069" w:rsidRPr="001A3593" w:rsidTr="00C321EC">
        <w:trPr>
          <w:cantSplit/>
          <w:trHeight w:val="283"/>
        </w:trPr>
        <w:tc>
          <w:tcPr>
            <w:tcW w:w="9263" w:type="dxa"/>
            <w:shd w:val="clear" w:color="auto" w:fill="auto"/>
          </w:tcPr>
          <w:p w:rsidR="00933069" w:rsidRPr="001A3593" w:rsidRDefault="00933069" w:rsidP="00933069">
            <w:pPr>
              <w:pStyle w:val="ListParagraph"/>
              <w:numPr>
                <w:ilvl w:val="0"/>
                <w:numId w:val="1"/>
              </w:numPr>
              <w:contextualSpacing w:val="0"/>
              <w:rPr>
                <w:rFonts w:ascii="Arial" w:hAnsi="Arial" w:cs="Arial"/>
                <w:b/>
              </w:rPr>
            </w:pPr>
            <w:r w:rsidRPr="001A3593">
              <w:rPr>
                <w:rFonts w:ascii="Arial" w:hAnsi="Arial" w:cs="Arial"/>
                <w:b/>
              </w:rPr>
              <w:t>Are there any issues regarding the practical application of the amended regulations?</w:t>
            </w:r>
          </w:p>
        </w:tc>
      </w:tr>
      <w:tr w:rsidR="00933069" w:rsidRPr="001A3593" w:rsidTr="00C321EC">
        <w:trPr>
          <w:cantSplit/>
          <w:trHeight w:val="1134"/>
        </w:trPr>
        <w:tc>
          <w:tcPr>
            <w:tcW w:w="9263" w:type="dxa"/>
            <w:shd w:val="clear" w:color="auto" w:fill="auto"/>
          </w:tcPr>
          <w:p w:rsidR="00933069" w:rsidRPr="001D677F" w:rsidRDefault="00933069" w:rsidP="00C321EC">
            <w:pPr>
              <w:rPr>
                <w:rFonts w:ascii="Arial" w:hAnsi="Arial" w:cs="Arial"/>
                <w:b/>
              </w:rPr>
            </w:pPr>
          </w:p>
          <w:p w:rsidR="00933069" w:rsidRPr="001A3593" w:rsidRDefault="00933069" w:rsidP="00C321EC">
            <w:pPr>
              <w:pStyle w:val="ListParagraph"/>
              <w:ind w:left="360"/>
              <w:contextualSpacing w:val="0"/>
              <w:rPr>
                <w:rFonts w:ascii="Arial" w:hAnsi="Arial" w:cs="Arial"/>
                <w:b/>
              </w:rPr>
            </w:pPr>
          </w:p>
        </w:tc>
      </w:tr>
      <w:tr w:rsidR="00933069" w:rsidRPr="001A3593" w:rsidTr="00C321EC">
        <w:trPr>
          <w:cantSplit/>
          <w:trHeight w:val="283"/>
        </w:trPr>
        <w:tc>
          <w:tcPr>
            <w:tcW w:w="9263" w:type="dxa"/>
            <w:shd w:val="clear" w:color="auto" w:fill="auto"/>
          </w:tcPr>
          <w:p w:rsidR="00933069" w:rsidRPr="001A3593" w:rsidRDefault="00933069" w:rsidP="00933069">
            <w:pPr>
              <w:pStyle w:val="ListParagraph"/>
              <w:numPr>
                <w:ilvl w:val="0"/>
                <w:numId w:val="1"/>
              </w:numPr>
              <w:contextualSpacing w:val="0"/>
              <w:rPr>
                <w:rFonts w:ascii="Arial" w:hAnsi="Arial" w:cs="Arial"/>
                <w:b/>
              </w:rPr>
            </w:pPr>
            <w:r w:rsidRPr="001A3593">
              <w:rPr>
                <w:rFonts w:ascii="Arial" w:hAnsi="Arial" w:cs="Arial"/>
                <w:b/>
              </w:rPr>
              <w:t>Do you have any other comments about the Draft Regulations?</w:t>
            </w:r>
          </w:p>
        </w:tc>
      </w:tr>
      <w:tr w:rsidR="00933069" w:rsidRPr="001A3593" w:rsidTr="00C321EC">
        <w:trPr>
          <w:cantSplit/>
          <w:trHeight w:val="1134"/>
        </w:trPr>
        <w:tc>
          <w:tcPr>
            <w:tcW w:w="9263" w:type="dxa"/>
            <w:shd w:val="clear" w:color="auto" w:fill="auto"/>
          </w:tcPr>
          <w:p w:rsidR="00933069" w:rsidRPr="001D677F" w:rsidRDefault="00933069" w:rsidP="00C321EC">
            <w:pPr>
              <w:rPr>
                <w:rFonts w:ascii="Arial" w:hAnsi="Arial" w:cs="Arial"/>
                <w:b/>
              </w:rPr>
            </w:pPr>
          </w:p>
        </w:tc>
      </w:tr>
      <w:tr w:rsidR="00933069" w:rsidRPr="001A3593" w:rsidTr="00C321EC">
        <w:trPr>
          <w:cantSplit/>
          <w:trHeight w:val="283"/>
        </w:trPr>
        <w:tc>
          <w:tcPr>
            <w:tcW w:w="9263" w:type="dxa"/>
            <w:shd w:val="clear" w:color="auto" w:fill="auto"/>
          </w:tcPr>
          <w:p w:rsidR="00933069" w:rsidRPr="001A3593" w:rsidRDefault="00933069" w:rsidP="00933069">
            <w:pPr>
              <w:pStyle w:val="ListParagraph"/>
              <w:numPr>
                <w:ilvl w:val="0"/>
                <w:numId w:val="1"/>
              </w:numPr>
              <w:contextualSpacing w:val="0"/>
              <w:rPr>
                <w:rFonts w:ascii="Arial" w:eastAsia="Times New Roman" w:hAnsi="Arial" w:cs="Arial"/>
                <w:b/>
              </w:rPr>
            </w:pPr>
            <w:r w:rsidRPr="001A3593">
              <w:rPr>
                <w:rFonts w:ascii="Arial" w:eastAsia="Times New Roman" w:hAnsi="Arial" w:cs="Arial"/>
                <w:b/>
              </w:rPr>
              <w:lastRenderedPageBreak/>
              <w:t>We would like your views on the effects that the Draft Regulations would have on the Welsh language, specifically on opportunities for people to use Welsh and on treating the Welsh language no less favourably than English.</w:t>
            </w:r>
          </w:p>
          <w:p w:rsidR="00933069" w:rsidRPr="001A3593" w:rsidRDefault="00933069" w:rsidP="00C321EC">
            <w:pPr>
              <w:pStyle w:val="ListParagraph"/>
              <w:ind w:left="360"/>
              <w:contextualSpacing w:val="0"/>
              <w:rPr>
                <w:rFonts w:ascii="Arial" w:eastAsia="Times New Roman" w:hAnsi="Arial" w:cs="Arial"/>
                <w:b/>
              </w:rPr>
            </w:pPr>
          </w:p>
          <w:p w:rsidR="00933069" w:rsidRPr="001A3593" w:rsidRDefault="00933069" w:rsidP="00C321EC">
            <w:pPr>
              <w:pStyle w:val="ListParagraph"/>
              <w:ind w:left="360"/>
              <w:contextualSpacing w:val="0"/>
              <w:rPr>
                <w:rFonts w:ascii="Arial" w:eastAsia="Times New Roman" w:hAnsi="Arial" w:cs="Arial"/>
                <w:b/>
              </w:rPr>
            </w:pPr>
            <w:r w:rsidRPr="001A3593">
              <w:rPr>
                <w:rFonts w:ascii="Arial" w:eastAsia="Times New Roman" w:hAnsi="Arial" w:cs="Arial"/>
                <w:b/>
              </w:rPr>
              <w:t>What effects do you think there would be?  How could positive effects be increased, or negative effects be mitigated?</w:t>
            </w:r>
          </w:p>
        </w:tc>
      </w:tr>
      <w:tr w:rsidR="00933069" w:rsidRPr="001A3593" w:rsidTr="00C321EC">
        <w:trPr>
          <w:cantSplit/>
          <w:trHeight w:val="1134"/>
        </w:trPr>
        <w:tc>
          <w:tcPr>
            <w:tcW w:w="9263" w:type="dxa"/>
            <w:shd w:val="clear" w:color="auto" w:fill="auto"/>
          </w:tcPr>
          <w:p w:rsidR="00933069" w:rsidRPr="001A3593" w:rsidRDefault="00933069" w:rsidP="00C321EC">
            <w:pPr>
              <w:pStyle w:val="ListParagraph"/>
              <w:ind w:left="0"/>
              <w:contextualSpacing w:val="0"/>
              <w:rPr>
                <w:rFonts w:ascii="Arial" w:eastAsia="Times New Roman" w:hAnsi="Arial" w:cs="Arial"/>
                <w:b/>
              </w:rPr>
            </w:pPr>
          </w:p>
          <w:p w:rsidR="00933069" w:rsidRPr="001A3593" w:rsidRDefault="00933069" w:rsidP="00C321EC">
            <w:pPr>
              <w:pStyle w:val="ListParagraph"/>
              <w:ind w:left="0"/>
              <w:contextualSpacing w:val="0"/>
              <w:rPr>
                <w:rFonts w:ascii="Arial" w:eastAsia="Times New Roman" w:hAnsi="Arial" w:cs="Arial"/>
                <w:b/>
              </w:rPr>
            </w:pPr>
          </w:p>
          <w:p w:rsidR="00933069" w:rsidRPr="001A3593" w:rsidRDefault="00933069" w:rsidP="00C321EC">
            <w:pPr>
              <w:pStyle w:val="ListParagraph"/>
              <w:ind w:left="0"/>
              <w:contextualSpacing w:val="0"/>
              <w:rPr>
                <w:rFonts w:ascii="Arial" w:eastAsia="Times New Roman" w:hAnsi="Arial" w:cs="Arial"/>
                <w:b/>
              </w:rPr>
            </w:pPr>
          </w:p>
          <w:p w:rsidR="00933069" w:rsidRPr="001A3593" w:rsidRDefault="00933069" w:rsidP="00C321EC">
            <w:pPr>
              <w:pStyle w:val="ListParagraph"/>
              <w:ind w:left="0"/>
              <w:contextualSpacing w:val="0"/>
              <w:rPr>
                <w:rFonts w:ascii="Arial" w:eastAsia="Times New Roman" w:hAnsi="Arial" w:cs="Arial"/>
                <w:b/>
              </w:rPr>
            </w:pPr>
          </w:p>
        </w:tc>
      </w:tr>
      <w:tr w:rsidR="00933069" w:rsidRPr="001A3593" w:rsidTr="00C321EC">
        <w:trPr>
          <w:cantSplit/>
          <w:trHeight w:val="283"/>
        </w:trPr>
        <w:tc>
          <w:tcPr>
            <w:tcW w:w="9263" w:type="dxa"/>
            <w:shd w:val="clear" w:color="auto" w:fill="auto"/>
          </w:tcPr>
          <w:p w:rsidR="00933069" w:rsidRPr="001A3593" w:rsidRDefault="00933069" w:rsidP="00933069">
            <w:pPr>
              <w:pStyle w:val="ListParagraph"/>
              <w:numPr>
                <w:ilvl w:val="0"/>
                <w:numId w:val="1"/>
              </w:numPr>
              <w:contextualSpacing w:val="0"/>
              <w:rPr>
                <w:rFonts w:ascii="Arial" w:eastAsia="Times New Roman" w:hAnsi="Arial" w:cs="Arial"/>
                <w:b/>
              </w:rPr>
            </w:pPr>
            <w:r w:rsidRPr="001A3593">
              <w:rPr>
                <w:rFonts w:ascii="Arial" w:eastAsia="Times New Roman" w:hAnsi="Arial" w:cs="Arial"/>
                <w:b/>
              </w:rPr>
              <w:t>Please also explain how you believe the Draft Regulations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c>
      </w:tr>
      <w:tr w:rsidR="00933069" w:rsidRPr="001A3593" w:rsidTr="00C321EC">
        <w:trPr>
          <w:cantSplit/>
          <w:trHeight w:val="1134"/>
        </w:trPr>
        <w:tc>
          <w:tcPr>
            <w:tcW w:w="9263" w:type="dxa"/>
            <w:shd w:val="clear" w:color="auto" w:fill="auto"/>
          </w:tcPr>
          <w:p w:rsidR="00933069" w:rsidRPr="001A3593" w:rsidRDefault="00933069" w:rsidP="00C321EC">
            <w:pPr>
              <w:pStyle w:val="ListParagraph"/>
              <w:ind w:left="0"/>
              <w:contextualSpacing w:val="0"/>
              <w:rPr>
                <w:rFonts w:ascii="Arial" w:eastAsia="Times New Roman" w:hAnsi="Arial" w:cs="Arial"/>
                <w:b/>
              </w:rPr>
            </w:pPr>
          </w:p>
        </w:tc>
      </w:tr>
      <w:tr w:rsidR="00933069" w:rsidRPr="001A3593" w:rsidTr="00C321EC">
        <w:trPr>
          <w:cantSplit/>
          <w:trHeight w:val="283"/>
        </w:trPr>
        <w:tc>
          <w:tcPr>
            <w:tcW w:w="9263" w:type="dxa"/>
            <w:shd w:val="clear" w:color="auto" w:fill="auto"/>
          </w:tcPr>
          <w:p w:rsidR="00933069" w:rsidRPr="001A3593" w:rsidRDefault="00933069" w:rsidP="00933069">
            <w:pPr>
              <w:pStyle w:val="ListParagraph"/>
              <w:numPr>
                <w:ilvl w:val="0"/>
                <w:numId w:val="1"/>
              </w:numPr>
              <w:contextualSpacing w:val="0"/>
              <w:rPr>
                <w:rFonts w:ascii="Arial" w:eastAsia="Times New Roman" w:hAnsi="Arial" w:cs="Arial"/>
                <w:b/>
              </w:rPr>
            </w:pPr>
            <w:r w:rsidRPr="001A3593">
              <w:rPr>
                <w:rFonts w:ascii="Arial" w:eastAsia="Times New Roman" w:hAnsi="Arial" w:cs="Arial"/>
                <w:b/>
              </w:rPr>
              <w:t xml:space="preserve">We have asked a number of specific questions.  If you have any </w:t>
            </w:r>
            <w:r>
              <w:rPr>
                <w:rFonts w:ascii="Arial" w:eastAsia="Times New Roman" w:hAnsi="Arial" w:cs="Arial"/>
                <w:b/>
              </w:rPr>
              <w:t>further</w:t>
            </w:r>
            <w:r w:rsidRPr="001A3593">
              <w:rPr>
                <w:rFonts w:ascii="Arial" w:eastAsia="Times New Roman" w:hAnsi="Arial" w:cs="Arial"/>
                <w:b/>
              </w:rPr>
              <w:t xml:space="preserve"> </w:t>
            </w:r>
            <w:r>
              <w:rPr>
                <w:rFonts w:ascii="Arial" w:eastAsia="Times New Roman" w:hAnsi="Arial" w:cs="Arial"/>
                <w:b/>
              </w:rPr>
              <w:t>points</w:t>
            </w:r>
            <w:r w:rsidRPr="001A3593">
              <w:rPr>
                <w:rFonts w:ascii="Arial" w:eastAsia="Times New Roman" w:hAnsi="Arial" w:cs="Arial"/>
                <w:b/>
              </w:rPr>
              <w:t xml:space="preserve"> </w:t>
            </w:r>
            <w:r>
              <w:rPr>
                <w:rFonts w:ascii="Arial" w:eastAsia="Times New Roman" w:hAnsi="Arial" w:cs="Arial"/>
                <w:b/>
              </w:rPr>
              <w:t xml:space="preserve">related to this consultation </w:t>
            </w:r>
            <w:r w:rsidRPr="001A3593">
              <w:rPr>
                <w:rFonts w:ascii="Arial" w:eastAsia="Times New Roman" w:hAnsi="Arial" w:cs="Arial"/>
                <w:b/>
              </w:rPr>
              <w:t xml:space="preserve">which we have not specifically addressed, please use this space to </w:t>
            </w:r>
            <w:r>
              <w:rPr>
                <w:rFonts w:ascii="Arial" w:eastAsia="Times New Roman" w:hAnsi="Arial" w:cs="Arial"/>
                <w:b/>
              </w:rPr>
              <w:t>record</w:t>
            </w:r>
            <w:r w:rsidRPr="001A3593">
              <w:rPr>
                <w:rFonts w:ascii="Arial" w:eastAsia="Times New Roman" w:hAnsi="Arial" w:cs="Arial"/>
                <w:b/>
              </w:rPr>
              <w:t xml:space="preserve"> them.</w:t>
            </w:r>
          </w:p>
        </w:tc>
      </w:tr>
      <w:tr w:rsidR="00933069" w:rsidRPr="001A3593" w:rsidTr="00C321EC">
        <w:trPr>
          <w:cantSplit/>
          <w:trHeight w:val="1134"/>
        </w:trPr>
        <w:tc>
          <w:tcPr>
            <w:tcW w:w="9263" w:type="dxa"/>
            <w:shd w:val="clear" w:color="auto" w:fill="auto"/>
          </w:tcPr>
          <w:p w:rsidR="00933069" w:rsidRPr="001A3593" w:rsidRDefault="00933069" w:rsidP="00C321EC">
            <w:pPr>
              <w:pStyle w:val="ListParagraph"/>
              <w:ind w:left="0"/>
              <w:contextualSpacing w:val="0"/>
              <w:rPr>
                <w:rFonts w:ascii="Arial" w:eastAsia="Times New Roman" w:hAnsi="Arial" w:cs="Arial"/>
                <w:b/>
              </w:rPr>
            </w:pPr>
          </w:p>
        </w:tc>
      </w:tr>
    </w:tbl>
    <w:p w:rsidR="00933069" w:rsidRDefault="00933069" w:rsidP="00933069">
      <w:pPr>
        <w:rPr>
          <w:rFonts w:ascii="Arial" w:eastAsia="Times New Roman" w:hAnsi="Arial" w:cs="Arial"/>
          <w:b/>
        </w:rPr>
      </w:pPr>
    </w:p>
    <w:p w:rsidR="00933069" w:rsidRPr="001A3593" w:rsidRDefault="00933069" w:rsidP="00933069">
      <w:pP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8675"/>
        <w:gridCol w:w="624"/>
      </w:tblGrid>
      <w:tr w:rsidR="00933069" w:rsidRPr="001A3593" w:rsidTr="00C321EC">
        <w:tc>
          <w:tcPr>
            <w:tcW w:w="8675" w:type="dxa"/>
            <w:tcBorders>
              <w:top w:val="nil"/>
              <w:left w:val="nil"/>
              <w:bottom w:val="nil"/>
              <w:right w:val="single" w:sz="4" w:space="0" w:color="auto"/>
            </w:tcBorders>
            <w:shd w:val="clear" w:color="auto" w:fill="auto"/>
          </w:tcPr>
          <w:p w:rsidR="00933069" w:rsidRPr="001A3593" w:rsidRDefault="00933069" w:rsidP="00C321EC">
            <w:pPr>
              <w:rPr>
                <w:rFonts w:ascii="Arial" w:eastAsia="Times New Roman" w:hAnsi="Arial" w:cs="Arial"/>
                <w:b/>
              </w:rPr>
            </w:pPr>
            <w:r w:rsidRPr="001A3593">
              <w:rPr>
                <w:rFonts w:ascii="Arial" w:eastAsia="Times New Roman" w:hAnsi="Arial" w:cs="Arial"/>
              </w:rPr>
              <w:t>Responses to consultations are likely to be made public on the internet or in a report.  If you would prefer your response to remain anonymous, please tick here</w:t>
            </w:r>
          </w:p>
        </w:tc>
        <w:tc>
          <w:tcPr>
            <w:tcW w:w="624" w:type="dxa"/>
            <w:tcBorders>
              <w:left w:val="single" w:sz="4" w:space="0" w:color="auto"/>
            </w:tcBorders>
            <w:shd w:val="clear" w:color="auto" w:fill="auto"/>
          </w:tcPr>
          <w:p w:rsidR="00933069" w:rsidRPr="001A3593" w:rsidRDefault="00933069" w:rsidP="00C321EC">
            <w:pPr>
              <w:rPr>
                <w:rFonts w:ascii="Arial" w:eastAsia="Times New Roman" w:hAnsi="Arial" w:cs="Arial"/>
                <w:b/>
              </w:rPr>
            </w:pPr>
          </w:p>
        </w:tc>
      </w:tr>
    </w:tbl>
    <w:p w:rsidR="00933069" w:rsidRPr="001A3593" w:rsidRDefault="00933069" w:rsidP="00933069">
      <w:pPr>
        <w:rPr>
          <w:rFonts w:ascii="Arial" w:hAnsi="Arial" w:cs="Arial"/>
        </w:rPr>
      </w:pPr>
    </w:p>
    <w:p w:rsidR="00933069" w:rsidRPr="00404DAC" w:rsidRDefault="00933069">
      <w:pPr>
        <w:rPr>
          <w:rFonts w:ascii="Arial" w:hAnsi="Arial" w:cs="Arial"/>
        </w:rPr>
      </w:pPr>
    </w:p>
    <w:sectPr w:rsidR="00933069"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077E"/>
    <w:multiLevelType w:val="hybridMultilevel"/>
    <w:tmpl w:val="567405FE"/>
    <w:lvl w:ilvl="0" w:tplc="01C4296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69"/>
    <w:rsid w:val="00404DAC"/>
    <w:rsid w:val="00487FB8"/>
    <w:rsid w:val="00933069"/>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D2136-B998-43B8-936F-901EB7B9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6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33069"/>
    <w:pPr>
      <w:keepNext/>
      <w:keepLines/>
      <w:spacing w:line="276" w:lineRule="auto"/>
      <w:outlineLvl w:val="0"/>
    </w:pPr>
    <w:rPr>
      <w:rFonts w:ascii="Arial" w:eastAsia="MS Gothic" w:hAnsi="Arial" w:cs="Times New Roman"/>
      <w:b/>
      <w:bCs/>
      <w:color w:val="000000"/>
      <w:sz w:val="28"/>
      <w:szCs w:val="28"/>
    </w:rPr>
  </w:style>
  <w:style w:type="paragraph" w:styleId="Heading2">
    <w:name w:val="heading 2"/>
    <w:basedOn w:val="ListParagraph"/>
    <w:next w:val="Normal"/>
    <w:link w:val="Heading2Char"/>
    <w:uiPriority w:val="9"/>
    <w:unhideWhenUsed/>
    <w:qFormat/>
    <w:rsid w:val="00933069"/>
    <w:pPr>
      <w:widowControl w:val="0"/>
      <w:spacing w:line="276" w:lineRule="auto"/>
      <w:ind w:left="0"/>
      <w:contextualSpacing w:val="0"/>
      <w:jc w:val="both"/>
      <w:outlineLvl w:val="1"/>
    </w:pPr>
    <w:rPr>
      <w:rFonts w:ascii="Arial" w:eastAsia="Times New Roman" w:hAnsi="Arial" w:cs="Arial"/>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69"/>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933069"/>
    <w:rPr>
      <w:rFonts w:ascii="Arial" w:eastAsia="Times New Roman" w:hAnsi="Arial" w:cs="Arial"/>
      <w:b/>
      <w:color w:val="000000"/>
      <w:sz w:val="24"/>
      <w:szCs w:val="24"/>
      <w:lang w:val="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93306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93306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A31487223</value>
    </field>
    <field name="Objective-Title">
      <value order="0">Non-Domestic Rates - Fraud and Avoidance - Unoccupied Property Regulations - Technical Consultation - Questions - English</value>
    </field>
    <field name="Objective-Description">
      <value order="0"/>
    </field>
    <field name="Objective-CreationStamp">
      <value order="0">2020-09-21T11:07:28Z</value>
    </field>
    <field name="Objective-IsApproved">
      <value order="0">false</value>
    </field>
    <field name="Objective-IsPublished">
      <value order="0">true</value>
    </field>
    <field name="Objective-DatePublished">
      <value order="0">2020-09-21T11:07:48Z</value>
    </field>
    <field name="Objective-ModificationStamp">
      <value order="0">2020-09-21T11:08:41Z</value>
    </field>
    <field name="Objective-Owner">
      <value order="0">Harding, Alexander (EPS - LGSF)</value>
    </field>
    <field name="Objective-Path">
      <value order="0">Objective Global Folder:Business File Plan:Education &amp; Public Services (EPS):Education &amp; Public Services (EPS) - Local Government - Strategic Finance:1 - Save:06 Local Government - Non-Domestic Rates Policy:6.1 Non-Domestic Rates Policy (NDR):Non-Domestic Rates - Fraud and Avoidance - 2020- 2025:Non-Domestic Rates - Fraud and Avoidance - Consultation</value>
    </field>
    <field name="Objective-Parent">
      <value order="0">Non-Domestic Rates - Fraud and Avoidance - Consultation</value>
    </field>
    <field name="Objective-State">
      <value order="0">Published</value>
    </field>
    <field name="Objective-VersionId">
      <value order="0">vA62617920</value>
    </field>
    <field name="Objective-Version">
      <value order="0">1.0</value>
    </field>
    <field name="Objective-VersionNumber">
      <value order="0">2</value>
    </field>
    <field name="Objective-VersionComment">
      <value order="0">Version 2</value>
    </field>
    <field name="Objective-FileNumber">
      <value order="0">qA1411554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2020-09-20T23:00:00Z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Alexander (EPS - LGSF)</dc:creator>
  <cp:keywords/>
  <dc:description/>
  <cp:lastModifiedBy>Fulker, Louise (EPS - LGCHR Communications)</cp:lastModifiedBy>
  <cp:revision>2</cp:revision>
  <dcterms:created xsi:type="dcterms:W3CDTF">2020-09-30T11:23:00Z</dcterms:created>
  <dcterms:modified xsi:type="dcterms:W3CDTF">2020-09-30T11:23:00Z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A31487223</vt:lpwstr>
  </property>
  <property fmtid="{D5CDD505-2E9C-101B-9397-08002B2CF9AE}" pid="4" name="Objective-Title">
    <vt:lpwstr>Non-Domestic Rates - Fraud and Avoidance - Unoccupied Property Regulations - Technical Consultation - Questions - English</vt:lpwstr>
  </property>
  <property fmtid="{D5CDD505-2E9C-101B-9397-08002B2CF9AE}" pid="5" name="Objective-Description">
    <vt:lpwstr/>
  </property>
  <property fmtid="{D5CDD505-2E9C-101B-9397-08002B2CF9AE}" pid="6" name="Objective-CreationStamp">
    <vt:filetime>2020-09-21T11:07:36Z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2020-09-21T11:07:48Z</vt:filetime>
  </property>
  <property fmtid="{D5CDD505-2E9C-101B-9397-08002B2CF9AE}" pid="10" name="Objective-ModificationStamp">
    <vt:filetime>2020-09-21T11:08:41Z</vt:filetime>
  </property>
  <property fmtid="{D5CDD505-2E9C-101B-9397-08002B2CF9AE}" pid="11" name="Objective-Owner">
    <vt:lpwstr>Harding, Alexander (EPS - LGSF)</vt:lpwstr>
  </property>
  <property fmtid="{D5CDD505-2E9C-101B-9397-08002B2CF9AE}" pid="12" name="Objective-Path">
    <vt:lpwstr>Objective Global Folder:Business File Plan:Education &amp; Public Services (EPS):Education &amp; Public Services (EPS) - Local Government - Strategic Finance:1 - Save:06 Local Government - Non-Domestic Rates Policy:6.1 Non-Domestic Rates Policy (NDR):Non-Domestic</vt:lpwstr>
  </property>
  <property fmtid="{D5CDD505-2E9C-101B-9397-08002B2CF9AE}" pid="13" name="Objective-Parent">
    <vt:lpwstr>Non-Domestic Rates - Fraud and Avoidance - Consultation</vt:lpwstr>
  </property>
  <property fmtid="{D5CDD505-2E9C-101B-9397-08002B2CF9AE}" pid="14" name="Objective-State">
    <vt:lpwstr>Published</vt:lpwstr>
  </property>
  <property fmtid="{D5CDD505-2E9C-101B-9397-08002B2CF9AE}" pid="15" name="Objective-VersionId">
    <vt:lpwstr>vA62617920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qA1411554</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2020-09-20T23:00:00Z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