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jc w:val="center"/>
        <w:tblLayout w:type="fixed"/>
        <w:tblLook w:val="01E0" w:firstRow="1" w:lastRow="1" w:firstColumn="1" w:lastColumn="1" w:noHBand="0" w:noVBand="0"/>
      </w:tblPr>
      <w:tblGrid>
        <w:gridCol w:w="2286"/>
        <w:gridCol w:w="433"/>
        <w:gridCol w:w="2164"/>
        <w:gridCol w:w="2164"/>
        <w:gridCol w:w="619"/>
        <w:gridCol w:w="854"/>
        <w:gridCol w:w="390"/>
      </w:tblGrid>
      <w:tr w:rsidR="003405EA" w:rsidTr="003405EA">
        <w:trPr>
          <w:trHeight w:val="340"/>
          <w:jc w:val="center"/>
        </w:trPr>
        <w:tc>
          <w:tcPr>
            <w:tcW w:w="8912" w:type="dxa"/>
            <w:gridSpan w:val="7"/>
            <w:tcBorders>
              <w:top w:val="nil"/>
              <w:left w:val="nil"/>
              <w:bottom w:val="single" w:sz="4" w:space="0" w:color="auto"/>
              <w:right w:val="nil"/>
            </w:tcBorders>
            <w:vAlign w:val="center"/>
          </w:tcPr>
          <w:p w:rsidR="003405EA" w:rsidRDefault="003405EA">
            <w:pPr>
              <w:spacing w:before="60" w:after="120"/>
              <w:rPr>
                <w:rFonts w:ascii="Arial" w:hAnsi="Arial" w:cs="Arial"/>
                <w:b/>
                <w:sz w:val="32"/>
                <w:szCs w:val="32"/>
              </w:rPr>
            </w:pPr>
            <w:bookmarkStart w:id="0" w:name="_GoBack"/>
            <w:bookmarkEnd w:id="0"/>
          </w:p>
          <w:p w:rsidR="003405EA" w:rsidRDefault="003405EA">
            <w:pPr>
              <w:spacing w:before="60" w:after="120"/>
              <w:jc w:val="center"/>
              <w:rPr>
                <w:rFonts w:ascii="Arial" w:hAnsi="Arial" w:cs="Arial"/>
                <w:color w:val="000000"/>
              </w:rPr>
            </w:pPr>
            <w:r>
              <w:rPr>
                <w:rFonts w:ascii="Arial" w:hAnsi="Arial" w:cs="Arial"/>
                <w:b/>
                <w:sz w:val="32"/>
                <w:szCs w:val="32"/>
              </w:rPr>
              <w:t>Consultation Response Form</w:t>
            </w:r>
          </w:p>
        </w:tc>
      </w:tr>
      <w:tr w:rsidR="003405EA" w:rsidTr="003405EA">
        <w:trPr>
          <w:trHeight w:val="653"/>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3405EA" w:rsidRDefault="003405EA">
            <w:pPr>
              <w:tabs>
                <w:tab w:val="left" w:pos="1430"/>
              </w:tabs>
              <w:rPr>
                <w:rFonts w:ascii="Arial" w:hAnsi="Arial" w:cs="Arial"/>
                <w:color w:val="000000"/>
              </w:rPr>
            </w:pPr>
            <w:r>
              <w:rPr>
                <w:rFonts w:ascii="Arial" w:hAnsi="Arial" w:cs="Arial"/>
                <w:color w:val="000000"/>
              </w:rPr>
              <w:t>Your 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05EA" w:rsidRDefault="003405EA">
            <w:pPr>
              <w:tabs>
                <w:tab w:val="left" w:pos="1430"/>
              </w:tabs>
              <w:rPr>
                <w:rFonts w:ascii="Arial" w:hAnsi="Arial" w:cs="Arial"/>
                <w:color w:val="000000"/>
              </w:rPr>
            </w:pPr>
          </w:p>
        </w:tc>
      </w:tr>
      <w:tr w:rsidR="003405EA" w:rsidTr="003405EA">
        <w:trPr>
          <w:trHeight w:val="693"/>
          <w:jc w:val="center"/>
        </w:trPr>
        <w:tc>
          <w:tcPr>
            <w:tcW w:w="2288" w:type="dxa"/>
            <w:tcBorders>
              <w:top w:val="single" w:sz="4" w:space="0" w:color="auto"/>
              <w:left w:val="single" w:sz="4" w:space="0" w:color="auto"/>
              <w:bottom w:val="single" w:sz="4" w:space="0" w:color="auto"/>
              <w:right w:val="single" w:sz="4" w:space="0" w:color="auto"/>
            </w:tcBorders>
            <w:hideMark/>
          </w:tcPr>
          <w:p w:rsidR="003405EA" w:rsidRDefault="003405EA">
            <w:pPr>
              <w:tabs>
                <w:tab w:val="left" w:pos="1430"/>
              </w:tabs>
              <w:rPr>
                <w:rFonts w:ascii="Arial" w:hAnsi="Arial" w:cs="Arial"/>
                <w:color w:val="000000"/>
              </w:rPr>
            </w:pPr>
            <w:r>
              <w:rPr>
                <w:rFonts w:ascii="Arial" w:hAnsi="Arial" w:cs="Arial"/>
                <w:color w:val="000000"/>
              </w:rPr>
              <w:t xml:space="preserve">Organisation </w:t>
            </w:r>
          </w:p>
          <w:p w:rsidR="003405EA" w:rsidRDefault="003405EA">
            <w:pPr>
              <w:tabs>
                <w:tab w:val="left" w:pos="1430"/>
              </w:tabs>
              <w:rPr>
                <w:rFonts w:ascii="Arial" w:hAnsi="Arial" w:cs="Arial"/>
                <w:color w:val="000000"/>
              </w:rPr>
            </w:pPr>
            <w:r>
              <w:rPr>
                <w:rFonts w:ascii="Arial" w:hAnsi="Arial" w:cs="Arial"/>
                <w:color w:val="000000"/>
              </w:rPr>
              <w:t>(if applicable):</w:t>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05EA" w:rsidRDefault="003405EA">
            <w:pPr>
              <w:tabs>
                <w:tab w:val="left" w:pos="1430"/>
              </w:tabs>
              <w:rPr>
                <w:rFonts w:ascii="Arial" w:hAnsi="Arial" w:cs="Arial"/>
                <w:color w:val="000000"/>
              </w:rPr>
            </w:pPr>
          </w:p>
        </w:tc>
      </w:tr>
      <w:tr w:rsidR="003405EA" w:rsidTr="003405EA">
        <w:trPr>
          <w:trHeight w:val="558"/>
          <w:jc w:val="center"/>
        </w:trPr>
        <w:tc>
          <w:tcPr>
            <w:tcW w:w="2288" w:type="dxa"/>
            <w:tcBorders>
              <w:top w:val="single" w:sz="4" w:space="0" w:color="auto"/>
              <w:left w:val="single" w:sz="4" w:space="0" w:color="auto"/>
              <w:bottom w:val="single" w:sz="4" w:space="0" w:color="auto"/>
              <w:right w:val="single" w:sz="4" w:space="0" w:color="auto"/>
            </w:tcBorders>
            <w:hideMark/>
          </w:tcPr>
          <w:p w:rsidR="003405EA" w:rsidRDefault="003405EA">
            <w:pPr>
              <w:tabs>
                <w:tab w:val="left" w:pos="1430"/>
              </w:tabs>
              <w:rPr>
                <w:rFonts w:ascii="Arial" w:hAnsi="Arial" w:cs="Arial"/>
                <w:color w:val="000000"/>
              </w:rPr>
            </w:pPr>
            <w:r>
              <w:rPr>
                <w:rFonts w:ascii="Arial" w:hAnsi="Arial" w:cs="Arial"/>
                <w:color w:val="000000"/>
              </w:rPr>
              <w:t>Email / Telephone number:</w:t>
            </w:r>
            <w:r>
              <w:rPr>
                <w:rFonts w:ascii="Arial" w:hAnsi="Arial" w:cs="Arial"/>
                <w:color w:val="000000"/>
              </w:rPr>
              <w:tab/>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05EA" w:rsidRDefault="003405EA">
            <w:pPr>
              <w:tabs>
                <w:tab w:val="left" w:pos="1430"/>
              </w:tabs>
              <w:rPr>
                <w:rFonts w:ascii="Arial" w:hAnsi="Arial" w:cs="Arial"/>
                <w:color w:val="000000"/>
              </w:rPr>
            </w:pPr>
          </w:p>
        </w:tc>
      </w:tr>
      <w:tr w:rsidR="003405EA" w:rsidTr="003405EA">
        <w:trPr>
          <w:trHeight w:val="1143"/>
          <w:jc w:val="center"/>
        </w:trPr>
        <w:tc>
          <w:tcPr>
            <w:tcW w:w="2288" w:type="dxa"/>
            <w:tcBorders>
              <w:top w:val="single" w:sz="4" w:space="0" w:color="auto"/>
              <w:left w:val="single" w:sz="4" w:space="0" w:color="auto"/>
              <w:bottom w:val="single" w:sz="4" w:space="0" w:color="auto"/>
              <w:right w:val="single" w:sz="4" w:space="0" w:color="auto"/>
            </w:tcBorders>
            <w:hideMark/>
          </w:tcPr>
          <w:p w:rsidR="003405EA" w:rsidRDefault="003405EA">
            <w:pPr>
              <w:tabs>
                <w:tab w:val="left" w:pos="1430"/>
              </w:tabs>
              <w:rPr>
                <w:rFonts w:ascii="Arial" w:hAnsi="Arial" w:cs="Arial"/>
                <w:color w:val="000000"/>
              </w:rPr>
            </w:pPr>
            <w:r>
              <w:rPr>
                <w:rFonts w:ascii="Arial" w:hAnsi="Arial" w:cs="Arial"/>
                <w:color w:val="000000"/>
              </w:rPr>
              <w:t>Your address:</w:t>
            </w:r>
          </w:p>
        </w:tc>
        <w:tc>
          <w:tcPr>
            <w:tcW w:w="6624" w:type="dxa"/>
            <w:gridSpan w:val="6"/>
            <w:tcBorders>
              <w:top w:val="single" w:sz="4" w:space="0" w:color="auto"/>
              <w:left w:val="single" w:sz="4" w:space="0" w:color="auto"/>
              <w:bottom w:val="single" w:sz="4" w:space="0" w:color="auto"/>
              <w:right w:val="single" w:sz="4" w:space="0" w:color="auto"/>
            </w:tcBorders>
            <w:vAlign w:val="center"/>
          </w:tcPr>
          <w:p w:rsidR="003405EA" w:rsidRDefault="003405EA">
            <w:pPr>
              <w:tabs>
                <w:tab w:val="left" w:pos="1430"/>
              </w:tabs>
              <w:rPr>
                <w:rFonts w:ascii="Arial" w:hAnsi="Arial" w:cs="Arial"/>
                <w:color w:val="000000"/>
              </w:rPr>
            </w:pPr>
          </w:p>
          <w:p w:rsidR="003405EA" w:rsidRDefault="003405EA">
            <w:pPr>
              <w:tabs>
                <w:tab w:val="left" w:pos="1430"/>
              </w:tabs>
              <w:rPr>
                <w:rFonts w:ascii="Arial" w:hAnsi="Arial" w:cs="Arial"/>
                <w:color w:val="000000"/>
              </w:rPr>
            </w:pPr>
          </w:p>
          <w:p w:rsidR="003405EA" w:rsidRDefault="003405EA">
            <w:pPr>
              <w:tabs>
                <w:tab w:val="left" w:pos="1430"/>
              </w:tabs>
              <w:rPr>
                <w:rFonts w:ascii="Arial" w:hAnsi="Arial" w:cs="Arial"/>
                <w:color w:val="000000"/>
              </w:rPr>
            </w:pPr>
          </w:p>
        </w:tc>
      </w:tr>
      <w:tr w:rsidR="003405EA" w:rsidTr="003405EA">
        <w:trPr>
          <w:gridAfter w:val="1"/>
          <w:wAfter w:w="390" w:type="dxa"/>
          <w:jc w:val="center"/>
        </w:trPr>
        <w:tc>
          <w:tcPr>
            <w:tcW w:w="7668" w:type="dxa"/>
            <w:gridSpan w:val="5"/>
          </w:tcPr>
          <w:p w:rsidR="003405EA" w:rsidRDefault="003405EA">
            <w:pPr>
              <w:rPr>
                <w:rFonts w:ascii="Arial" w:hAnsi="Arial" w:cs="Arial"/>
                <w:color w:val="000000"/>
              </w:rPr>
            </w:pPr>
          </w:p>
          <w:p w:rsidR="003405EA" w:rsidRDefault="003405EA">
            <w:pPr>
              <w:rPr>
                <w:rFonts w:ascii="Arial" w:hAnsi="Arial" w:cs="Arial"/>
                <w:b/>
                <w:color w:val="000000"/>
              </w:rPr>
            </w:pPr>
            <w:r>
              <w:rPr>
                <w:rFonts w:ascii="Arial" w:hAnsi="Arial" w:cs="Arial"/>
                <w:b/>
                <w:color w:val="000000"/>
              </w:rPr>
              <w:t xml:space="preserve">Responses to consultations are likely to be made public, on the internet or in a report.  If you would prefer your response to remain anonymous, please place a tick in the box: </w:t>
            </w:r>
          </w:p>
        </w:tc>
        <w:tc>
          <w:tcPr>
            <w:tcW w:w="854" w:type="dxa"/>
            <w:hideMark/>
          </w:tcPr>
          <w:p w:rsidR="003405EA" w:rsidRDefault="003405EA">
            <w:pPr>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4D3166D8" wp14:editId="7B435C7C">
                      <wp:simplePos x="0" y="0"/>
                      <wp:positionH relativeFrom="column">
                        <wp:posOffset>103505</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8.15pt;margin-top:20.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">
                      <w10:wrap type="through"/>
                    </v:roundrect>
                  </w:pict>
                </mc:Fallback>
              </mc:AlternateContent>
            </w:r>
          </w:p>
        </w:tc>
      </w:tr>
      <w:tr w:rsidR="003405EA" w:rsidTr="003405EA">
        <w:trPr>
          <w:trHeight w:val="251"/>
          <w:jc w:val="center"/>
        </w:trPr>
        <w:tc>
          <w:tcPr>
            <w:tcW w:w="8912" w:type="dxa"/>
            <w:gridSpan w:val="7"/>
            <w:tcBorders>
              <w:top w:val="nil"/>
              <w:left w:val="nil"/>
              <w:bottom w:val="single" w:sz="4" w:space="0" w:color="auto"/>
              <w:right w:val="nil"/>
            </w:tcBorders>
          </w:tcPr>
          <w:p w:rsidR="003405EA" w:rsidRDefault="003405EA">
            <w:pPr>
              <w:rPr>
                <w:rFonts w:ascii="Arial" w:hAnsi="Arial" w:cs="Arial"/>
              </w:rPr>
            </w:pPr>
          </w:p>
          <w:p w:rsidR="003405EA" w:rsidRDefault="003405EA">
            <w:pPr>
              <w:rPr>
                <w:rFonts w:ascii="Arial" w:hAnsi="Arial" w:cs="Arial"/>
              </w:rPr>
            </w:pPr>
          </w:p>
        </w:tc>
      </w:tr>
      <w:tr w:rsidR="003405EA" w:rsidTr="003405EA">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A regulation requiring service providers to employ domiciliary care workers registered with Social Care Wales [Annex A]</w:t>
            </w:r>
          </w:p>
        </w:tc>
      </w:tr>
      <w:tr w:rsidR="003405EA" w:rsidTr="003405EA">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rPr>
              <w:t>Q.1.</w:t>
            </w:r>
            <w:r>
              <w:t xml:space="preserve"> </w:t>
            </w:r>
            <w:r>
              <w:rPr>
                <w:rFonts w:ascii="Arial" w:hAnsi="Arial" w:cs="Arial"/>
                <w:b/>
              </w:rPr>
              <w:t>Should agency workers be excluded from having to register as a domiciliary care worker?</w:t>
            </w:r>
          </w:p>
          <w:p w:rsidR="003405EA" w:rsidRDefault="003405EA">
            <w:pPr>
              <w:rPr>
                <w:rFonts w:ascii="Arial" w:hAnsi="Arial" w:cs="Arial"/>
              </w:rPr>
            </w:pPr>
          </w:p>
        </w:tc>
      </w:tr>
      <w:tr w:rsidR="003405EA" w:rsidTr="003405EA">
        <w:trPr>
          <w:trHeight w:val="251"/>
          <w:jc w:val="center"/>
        </w:trPr>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33399487"/>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344481661"/>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630057281"/>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gridSpan w:val="3"/>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729530076"/>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7"/>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A regulation requiring service providers to employ domiciliary care workers registered with Social Care Wales [Annex A]</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rPr>
              <w:t>Q.2.</w:t>
            </w:r>
            <w:r>
              <w:t xml:space="preserve"> </w:t>
            </w:r>
            <w:r>
              <w:rPr>
                <w:rFonts w:ascii="Arial" w:hAnsi="Arial" w:cs="Arial"/>
                <w:b/>
              </w:rPr>
              <w:t>Should volunteers be excluded from having to register as a domiciliary care worker?</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1204445574"/>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1653826835"/>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951935117"/>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1292629334"/>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A regulation requiring service providers to employ domiciliary care workers registered with Social Care Wales [Annex A]</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rPr>
            </w:pPr>
            <w:r>
              <w:rPr>
                <w:rFonts w:ascii="Arial" w:hAnsi="Arial" w:cs="Arial"/>
                <w:b/>
              </w:rPr>
              <w:t>Q.3. Should we require the dual registration of professionals who are employed by a domiciliary support service to carry out activities connected with their professional registration, if they are already registered with another workforce regulator?</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863286329"/>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2008786954"/>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432898690"/>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1681276945"/>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A regulation requiring service providers to employ domiciliary care workers registered with Social Care Wales [Annex A]</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rPr>
            </w:pPr>
            <w:r>
              <w:rPr>
                <w:rFonts w:ascii="Arial" w:hAnsi="Arial" w:cs="Arial"/>
                <w:b/>
              </w:rPr>
              <w:t>Q.4. Should any guidance be provided to support domiciliary support services in complying with this regulation?  If so, what guidance do you think would be required?</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373611612"/>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1449471216"/>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2138437545"/>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1813361547"/>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pStyle w:val="ListParagraph"/>
              <w:spacing w:before="60" w:after="120"/>
              <w:ind w:left="0"/>
              <w:rPr>
                <w:rFonts w:ascii="Arial" w:hAnsi="Arial" w:cs="Arial"/>
                <w:b/>
              </w:rPr>
            </w:pPr>
            <w:r>
              <w:rPr>
                <w:rFonts w:ascii="Arial" w:hAnsi="Arial" w:cs="Arial"/>
                <w:b/>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iCs/>
              </w:rPr>
              <w:t>Q.5.</w:t>
            </w:r>
            <w:r>
              <w:t xml:space="preserve"> </w:t>
            </w:r>
            <w:r>
              <w:rPr>
                <w:rFonts w:ascii="Arial" w:hAnsi="Arial" w:cs="Arial"/>
                <w:b/>
                <w:iCs/>
              </w:rPr>
              <w:t xml:space="preserve">Are the attached draft regulations and definitions sufficiently clear and </w:t>
            </w:r>
            <w:r>
              <w:rPr>
                <w:rFonts w:ascii="Arial" w:hAnsi="Arial" w:cs="Arial"/>
                <w:b/>
                <w:iCs/>
              </w:rPr>
              <w:lastRenderedPageBreak/>
              <w:t>comprehensive to effectively implement the voluntary registration of adult residential care workers</w:t>
            </w:r>
            <w:r>
              <w:t xml:space="preserve"> </w:t>
            </w:r>
            <w:r>
              <w:rPr>
                <w:rFonts w:ascii="Arial" w:hAnsi="Arial" w:cs="Arial"/>
                <w:b/>
                <w:iCs/>
              </w:rPr>
              <w:t>and residential family centre workers?</w:t>
            </w:r>
            <w:r>
              <w:rPr>
                <w:rFonts w:ascii="Arial" w:hAnsi="Arial" w:cs="Arial"/>
                <w:b/>
                <w:iCs/>
                <w:color w:val="1F497D"/>
              </w:rPr>
              <w:t> </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lastRenderedPageBreak/>
              <w:t>Agree</w:t>
            </w:r>
          </w:p>
          <w:p w:rsidR="003405EA" w:rsidRDefault="00166B18">
            <w:pPr>
              <w:spacing w:before="60" w:after="120"/>
              <w:jc w:val="center"/>
              <w:rPr>
                <w:rFonts w:ascii="Arial" w:hAnsi="Arial" w:cs="Arial"/>
                <w:b/>
              </w:rPr>
            </w:pPr>
            <w:sdt>
              <w:sdtPr>
                <w:rPr>
                  <w:rFonts w:ascii="Arial" w:hAnsi="Arial" w:cs="Arial"/>
                </w:rPr>
                <w:id w:val="-1623608373"/>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967812197"/>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1891108648"/>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270089044"/>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pStyle w:val="ListParagraph"/>
              <w:spacing w:before="60" w:after="120"/>
              <w:ind w:left="0"/>
              <w:rPr>
                <w:rFonts w:ascii="Arial" w:hAnsi="Arial" w:cs="Arial"/>
                <w:b/>
              </w:rPr>
            </w:pPr>
            <w:r>
              <w:rPr>
                <w:rFonts w:ascii="Arial" w:hAnsi="Arial" w:cs="Arial"/>
                <w:b/>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bCs/>
              </w:rPr>
            </w:pPr>
            <w:r>
              <w:rPr>
                <w:rFonts w:ascii="Arial" w:hAnsi="Arial" w:cs="Arial"/>
                <w:b/>
                <w:bCs/>
              </w:rPr>
              <w:t xml:space="preserve">Q.6. </w:t>
            </w:r>
            <w:r>
              <w:rPr>
                <w:rFonts w:ascii="Arial" w:hAnsi="Arial" w:cs="Arial"/>
                <w:b/>
                <w:iCs/>
              </w:rPr>
              <w:t>Do you think that two years lead-in time from 2020 for people to join the register voluntarily is sufficient to facilitate the mandatory registration of adult residential care workers and residential family centre workers by 2022</w:t>
            </w:r>
            <w:r>
              <w:rPr>
                <w:rFonts w:ascii="Arial" w:hAnsi="Arial" w:cs="Arial"/>
                <w:b/>
                <w:bCs/>
              </w:rPr>
              <w:t xml:space="preserve">? </w:t>
            </w:r>
          </w:p>
          <w:p w:rsidR="003405EA" w:rsidRDefault="003405EA">
            <w:pPr>
              <w:tabs>
                <w:tab w:val="left" w:pos="1230"/>
              </w:tabs>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3405EA">
            <w:pPr>
              <w:spacing w:before="60" w:after="120"/>
              <w:jc w:val="center"/>
              <w:rPr>
                <w:rFonts w:ascii="Arial" w:hAnsi="Arial" w:cs="Arial"/>
                <w:b/>
              </w:rPr>
            </w:pPr>
            <w:r>
              <w:rPr>
                <w:rFonts w:ascii="Meiryo" w:eastAsia="Meiryo" w:hAnsi="Meiryo" w:cs="Meiryo" w:hint="eastAsia"/>
                <w:b/>
              </w:rPr>
              <w:t>☐</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pStyle w:val="ListParagraph"/>
              <w:spacing w:before="60" w:after="120"/>
              <w:ind w:left="0"/>
              <w:rPr>
                <w:rFonts w:ascii="Arial" w:hAnsi="Arial" w:cs="Arial"/>
                <w:b/>
              </w:rPr>
            </w:pPr>
            <w:r>
              <w:rPr>
                <w:rFonts w:ascii="Arial" w:hAnsi="Arial" w:cs="Arial"/>
                <w:b/>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bCs/>
              </w:rPr>
            </w:pPr>
            <w:r>
              <w:rPr>
                <w:rFonts w:ascii="Arial" w:hAnsi="Arial" w:cs="Arial"/>
                <w:b/>
                <w:bCs/>
              </w:rPr>
              <w:t xml:space="preserve">Q.7. </w:t>
            </w:r>
            <w:r>
              <w:rPr>
                <w:rFonts w:ascii="Arial" w:hAnsi="Arial" w:cs="Arial"/>
                <w:b/>
                <w:iCs/>
              </w:rPr>
              <w:t>Should we require the dual registration of professionals who are employed by a care home service for adults</w:t>
            </w:r>
            <w:r>
              <w:t xml:space="preserve"> </w:t>
            </w:r>
            <w:r>
              <w:rPr>
                <w:rFonts w:ascii="Arial" w:hAnsi="Arial" w:cs="Arial"/>
                <w:b/>
              </w:rPr>
              <w:t>or in a residential family centre</w:t>
            </w:r>
            <w:r>
              <w:t xml:space="preserve"> </w:t>
            </w:r>
            <w:r>
              <w:rPr>
                <w:rFonts w:ascii="Arial" w:hAnsi="Arial" w:cs="Arial"/>
                <w:b/>
                <w:iCs/>
              </w:rPr>
              <w:t>to carry out activities connected with their professional registration (e.g. a nurse or occupational therapist), if they are already registered with another workforce regulator</w:t>
            </w:r>
            <w:r>
              <w:rPr>
                <w:rFonts w:ascii="Arial" w:hAnsi="Arial" w:cs="Arial"/>
                <w:b/>
                <w:bCs/>
              </w:rPr>
              <w:t xml:space="preserve">? </w:t>
            </w:r>
          </w:p>
          <w:p w:rsidR="003405EA" w:rsidRDefault="003405EA">
            <w:pPr>
              <w:tabs>
                <w:tab w:val="left" w:pos="1230"/>
              </w:tabs>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3405EA">
            <w:pPr>
              <w:spacing w:before="60" w:after="120"/>
              <w:jc w:val="center"/>
              <w:rPr>
                <w:rFonts w:ascii="Arial" w:hAnsi="Arial" w:cs="Arial"/>
                <w:b/>
              </w:rPr>
            </w:pPr>
            <w:r>
              <w:rPr>
                <w:rFonts w:ascii="Meiryo" w:eastAsia="Meiryo" w:hAnsi="Meiryo" w:cs="Meiryo" w:hint="eastAsia"/>
              </w:rPr>
              <w:lastRenderedPageBreak/>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lastRenderedPageBreak/>
              <w:t>Tend to agree</w:t>
            </w:r>
          </w:p>
          <w:p w:rsidR="003405EA" w:rsidRDefault="003405EA">
            <w:pPr>
              <w:spacing w:before="60" w:after="120"/>
              <w:jc w:val="center"/>
              <w:rPr>
                <w:rFonts w:ascii="Arial" w:hAnsi="Arial" w:cs="Arial"/>
                <w:b/>
              </w:rPr>
            </w:pPr>
            <w:r>
              <w:rPr>
                <w:rFonts w:ascii="Meiryo" w:eastAsia="Meiryo" w:hAnsi="Meiryo" w:cs="Meiryo" w:hint="eastAsia"/>
              </w:rPr>
              <w:lastRenderedPageBreak/>
              <w:t>☐</w:t>
            </w:r>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lastRenderedPageBreak/>
              <w:t>Tend to disagree</w:t>
            </w:r>
          </w:p>
          <w:p w:rsidR="003405EA" w:rsidRDefault="003405EA">
            <w:pPr>
              <w:spacing w:before="60" w:after="120"/>
              <w:jc w:val="center"/>
              <w:rPr>
                <w:rFonts w:ascii="Arial" w:hAnsi="Arial" w:cs="Arial"/>
                <w:b/>
              </w:rPr>
            </w:pPr>
            <w:r>
              <w:rPr>
                <w:rFonts w:ascii="Meiryo" w:eastAsia="Meiryo" w:hAnsi="Meiryo" w:cs="Meiryo" w:hint="eastAsia"/>
              </w:rPr>
              <w:lastRenderedPageBreak/>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lastRenderedPageBreak/>
              <w:t>Disagree</w:t>
            </w:r>
          </w:p>
          <w:p w:rsidR="003405EA" w:rsidRDefault="003405EA">
            <w:pPr>
              <w:spacing w:before="60" w:after="120"/>
              <w:jc w:val="center"/>
              <w:rPr>
                <w:rFonts w:ascii="Arial" w:hAnsi="Arial" w:cs="Arial"/>
                <w:b/>
              </w:rPr>
            </w:pPr>
            <w:r>
              <w:rPr>
                <w:rFonts w:ascii="Meiryo" w:eastAsia="Meiryo" w:hAnsi="Meiryo" w:cs="Meiryo" w:hint="eastAsia"/>
                <w:b/>
              </w:rPr>
              <w:lastRenderedPageBreak/>
              <w:t>☐</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lastRenderedPageBreak/>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p w:rsidR="003405EA" w:rsidRDefault="003405EA" w:rsidP="003405EA"/>
    <w:p w:rsidR="003405EA" w:rsidRDefault="003405EA" w:rsidP="003405EA"/>
    <w:p w:rsidR="003405EA" w:rsidRDefault="003405EA" w:rsidP="003405EA"/>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pStyle w:val="ListParagraph"/>
              <w:spacing w:before="60" w:after="120"/>
              <w:ind w:left="0"/>
              <w:rPr>
                <w:rFonts w:ascii="Arial" w:hAnsi="Arial" w:cs="Arial"/>
                <w:b/>
              </w:rPr>
            </w:pPr>
            <w:r>
              <w:rPr>
                <w:rFonts w:ascii="Arial" w:hAnsi="Arial" w:cs="Arial"/>
                <w:b/>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bCs/>
              </w:rPr>
            </w:pPr>
            <w:r>
              <w:rPr>
                <w:rFonts w:ascii="Arial" w:hAnsi="Arial" w:cs="Arial"/>
                <w:b/>
                <w:bCs/>
              </w:rPr>
              <w:t xml:space="preserve">Q.8. </w:t>
            </w:r>
            <w:r>
              <w:rPr>
                <w:rFonts w:ascii="Arial" w:hAnsi="Arial" w:cs="Arial"/>
                <w:b/>
                <w:iCs/>
              </w:rPr>
              <w:t>Should we extend the requirement to register as an adult residential care worker</w:t>
            </w:r>
            <w:r>
              <w:t xml:space="preserve"> </w:t>
            </w:r>
            <w:r>
              <w:rPr>
                <w:rFonts w:ascii="Arial" w:hAnsi="Arial" w:cs="Arial"/>
                <w:b/>
                <w:iCs/>
              </w:rPr>
              <w:t>or in residential family centres to agency workers in these services</w:t>
            </w:r>
            <w:r>
              <w:rPr>
                <w:rFonts w:ascii="Arial" w:hAnsi="Arial" w:cs="Arial"/>
                <w:b/>
                <w:bCs/>
              </w:rPr>
              <w:t xml:space="preserve">? </w:t>
            </w:r>
          </w:p>
          <w:p w:rsidR="003405EA" w:rsidRDefault="003405EA">
            <w:pPr>
              <w:tabs>
                <w:tab w:val="left" w:pos="1230"/>
              </w:tabs>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3405EA">
            <w:pPr>
              <w:spacing w:before="60" w:after="120"/>
              <w:jc w:val="center"/>
              <w:rPr>
                <w:rFonts w:ascii="Arial" w:hAnsi="Arial" w:cs="Arial"/>
                <w:b/>
              </w:rPr>
            </w:pPr>
            <w:r>
              <w:rPr>
                <w:rFonts w:ascii="Meiryo" w:eastAsia="Meiryo" w:hAnsi="Meiryo" w:cs="Meiryo" w:hint="eastAsia"/>
                <w:b/>
              </w:rPr>
              <w:t>☐</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rPr>
              <w:t>Q.9.</w:t>
            </w:r>
            <w:r>
              <w:t xml:space="preserve"> </w:t>
            </w:r>
            <w:r>
              <w:rPr>
                <w:rFonts w:ascii="Arial" w:hAnsi="Arial" w:cs="Arial"/>
                <w:b/>
              </w:rPr>
              <w:t>Should we exclude volunteers from having to register as adult residential care workers or workers in residential family centres?</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423725531"/>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916016199"/>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510491228"/>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2049362498"/>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pStyle w:val="ListParagraph"/>
              <w:spacing w:before="60" w:after="120"/>
              <w:ind w:left="0"/>
              <w:rPr>
                <w:rFonts w:ascii="Arial" w:hAnsi="Arial" w:cs="Arial"/>
                <w:b/>
              </w:rPr>
            </w:pPr>
            <w:r>
              <w:rPr>
                <w:rFonts w:ascii="Arial" w:hAnsi="Arial" w:cs="Arial"/>
                <w:b/>
              </w:rPr>
              <w:t>A regulation that extends the Social Care Wales register of social care workers to include those employed in care home services for adults (i.e. adult residential care workers) and residential family centres from 2020 [Annex B]</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bCs/>
              </w:rPr>
            </w:pPr>
            <w:r>
              <w:rPr>
                <w:rFonts w:ascii="Arial" w:hAnsi="Arial" w:cs="Arial"/>
                <w:b/>
                <w:bCs/>
              </w:rPr>
              <w:t xml:space="preserve">Q.10. </w:t>
            </w:r>
            <w:r>
              <w:rPr>
                <w:rFonts w:ascii="Arial" w:hAnsi="Arial" w:cs="Arial"/>
                <w:b/>
                <w:iCs/>
              </w:rPr>
              <w:t>Should we also extend the proposals to avoid dual registration of professionals who are employed by a care home service for children to ensure consistency</w:t>
            </w:r>
            <w:r>
              <w:rPr>
                <w:rFonts w:ascii="Arial" w:hAnsi="Arial" w:cs="Arial"/>
                <w:b/>
                <w:bCs/>
              </w:rPr>
              <w:t xml:space="preserve">? </w:t>
            </w:r>
          </w:p>
          <w:p w:rsidR="003405EA" w:rsidRDefault="003405EA">
            <w:pPr>
              <w:tabs>
                <w:tab w:val="left" w:pos="1230"/>
              </w:tabs>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3405EA">
            <w:pPr>
              <w:spacing w:before="60" w:after="120"/>
              <w:jc w:val="center"/>
              <w:rPr>
                <w:rFonts w:ascii="Arial" w:hAnsi="Arial" w:cs="Arial"/>
                <w:b/>
              </w:rPr>
            </w:pPr>
            <w:r>
              <w:rPr>
                <w:rFonts w:ascii="Meiryo" w:eastAsia="Meiryo" w:hAnsi="Meiryo" w:cs="Meiryo" w:hint="eastAsia"/>
                <w:b/>
              </w:rPr>
              <w:t>☐</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05EA" w:rsidRDefault="003405EA">
            <w:pPr>
              <w:pStyle w:val="ListParagraph"/>
              <w:spacing w:before="60" w:after="120"/>
              <w:ind w:left="0"/>
              <w:rPr>
                <w:rFonts w:ascii="Arial" w:hAnsi="Arial" w:cs="Arial"/>
                <w:b/>
              </w:rPr>
            </w:pP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bCs/>
              </w:rPr>
            </w:pPr>
            <w:r>
              <w:rPr>
                <w:rFonts w:ascii="Arial" w:hAnsi="Arial" w:cs="Arial"/>
                <w:b/>
                <w:bCs/>
              </w:rPr>
              <w:t xml:space="preserve">Q.11. </w:t>
            </w:r>
            <w:r>
              <w:rPr>
                <w:rFonts w:ascii="Arial" w:hAnsi="Arial" w:cs="Arial"/>
                <w:b/>
                <w:iCs/>
              </w:rPr>
              <w:t>Should we extend the requirement for agency staff employed by a care home service for children and a secure accommodation service to be included on the register to ensure consistency across the register</w:t>
            </w:r>
            <w:r>
              <w:rPr>
                <w:rFonts w:ascii="Arial" w:hAnsi="Arial" w:cs="Arial"/>
                <w:b/>
                <w:bCs/>
              </w:rPr>
              <w:t xml:space="preserve">? </w:t>
            </w:r>
          </w:p>
          <w:p w:rsidR="003405EA" w:rsidRDefault="003405EA">
            <w:pPr>
              <w:tabs>
                <w:tab w:val="left" w:pos="1230"/>
              </w:tabs>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3405EA">
            <w:pPr>
              <w:spacing w:before="60" w:after="120"/>
              <w:jc w:val="center"/>
              <w:rPr>
                <w:rFonts w:ascii="Arial" w:hAnsi="Arial" w:cs="Arial"/>
                <w:b/>
              </w:rPr>
            </w:pPr>
            <w:r>
              <w:rPr>
                <w:rFonts w:ascii="Meiryo" w:eastAsia="Meiryo" w:hAnsi="Meiryo" w:cs="Meiryo" w:hint="eastAsia"/>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3405EA">
            <w:pPr>
              <w:spacing w:before="60" w:after="120"/>
              <w:jc w:val="center"/>
              <w:rPr>
                <w:rFonts w:ascii="Arial" w:hAnsi="Arial" w:cs="Arial"/>
                <w:b/>
              </w:rPr>
            </w:pPr>
            <w:r>
              <w:rPr>
                <w:rFonts w:ascii="Meiryo" w:eastAsia="Meiryo" w:hAnsi="Meiryo" w:cs="Meiryo" w:hint="eastAsia"/>
                <w:b/>
              </w:rPr>
              <w:t>☐</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t xml:space="preserve">Enabling CIW to request additional information from </w:t>
            </w:r>
            <w:r>
              <w:rPr>
                <w:rFonts w:ascii="Arial" w:hAnsi="Arial" w:cs="Arial"/>
                <w:b/>
              </w:rPr>
              <w:t>directors, trustees and members of boards or committees</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rPr>
              <w:t>Q.12. Do you agree with the proposal to</w:t>
            </w:r>
            <w:r>
              <w:rPr>
                <w:rFonts w:ascii="Arial" w:hAnsi="Arial" w:cs="Arial"/>
                <w:color w:val="000000"/>
                <w:sz w:val="28"/>
                <w:szCs w:val="28"/>
              </w:rPr>
              <w:t xml:space="preserve"> </w:t>
            </w:r>
            <w:r>
              <w:rPr>
                <w:rFonts w:ascii="Arial" w:hAnsi="Arial" w:cs="Arial"/>
                <w:b/>
                <w:color w:val="000000"/>
              </w:rPr>
              <w:t xml:space="preserve">amend the Regulated Services (Registration) (Wales) Regulations 2017 to enable Care Inspectorate Wales (CIW), acting on behalf of the Welsh Ministers, to obtain information from directors, trustees and members of boards or committees (other than a local authority or Local Health Board) when registering as providers of </w:t>
            </w:r>
            <w:r>
              <w:rPr>
                <w:rFonts w:ascii="Arial" w:hAnsi="Arial" w:cs="Arial"/>
                <w:b/>
                <w:color w:val="000000"/>
              </w:rPr>
              <w:lastRenderedPageBreak/>
              <w:t>regulated services?</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lastRenderedPageBreak/>
              <w:t>Agree</w:t>
            </w:r>
          </w:p>
          <w:p w:rsidR="003405EA" w:rsidRDefault="00166B18">
            <w:pPr>
              <w:spacing w:before="60" w:after="120"/>
              <w:jc w:val="center"/>
              <w:rPr>
                <w:rFonts w:ascii="Arial" w:hAnsi="Arial" w:cs="Arial"/>
                <w:b/>
              </w:rPr>
            </w:pPr>
            <w:sdt>
              <w:sdtPr>
                <w:rPr>
                  <w:rFonts w:ascii="Arial" w:hAnsi="Arial" w:cs="Arial"/>
                </w:rPr>
                <w:id w:val="-1735386429"/>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87235488"/>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1323735742"/>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555856937"/>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r>
        <w:br w:type="page"/>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164"/>
        <w:gridCol w:w="2164"/>
        <w:gridCol w:w="1863"/>
      </w:tblGrid>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405EA" w:rsidRDefault="003405EA">
            <w:pPr>
              <w:spacing w:after="200" w:line="276" w:lineRule="auto"/>
              <w:rPr>
                <w:rFonts w:ascii="Arial" w:eastAsia="Calibri" w:hAnsi="Arial"/>
                <w:b/>
                <w:szCs w:val="22"/>
                <w:lang w:eastAsia="en-US"/>
              </w:rPr>
            </w:pPr>
            <w:r>
              <w:rPr>
                <w:rFonts w:ascii="Arial" w:eastAsia="Calibri" w:hAnsi="Arial"/>
                <w:b/>
                <w:szCs w:val="22"/>
                <w:lang w:eastAsia="en-US"/>
              </w:rPr>
              <w:lastRenderedPageBreak/>
              <w:t>Making regulations under section 9(9) in relation to evidence of fitness of a service provider</w:t>
            </w:r>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b/>
              </w:rPr>
              <w:t xml:space="preserve">Q.13. Do you agree with the proposal to </w:t>
            </w:r>
            <w:r>
              <w:rPr>
                <w:rFonts w:ascii="Arial" w:hAnsi="Arial" w:cs="Arial"/>
                <w:b/>
                <w:color w:val="000000"/>
              </w:rPr>
              <w:t>use the regulation making power under section 9(9) of the 2016 Act to vary the evidence which CIW (acting on behalf of the Welsh Ministers) should have regard to in deciding whether a person is fit and proper to be a service provider?</w:t>
            </w:r>
          </w:p>
          <w:p w:rsidR="003405EA" w:rsidRDefault="003405EA">
            <w:pPr>
              <w:rPr>
                <w:rFonts w:ascii="Arial" w:hAnsi="Arial" w:cs="Arial"/>
              </w:rPr>
            </w:pPr>
          </w:p>
        </w:tc>
      </w:tr>
      <w:tr w:rsidR="003405EA" w:rsidTr="003405EA">
        <w:trPr>
          <w:trHeight w:val="25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42"/>
              <w:jc w:val="center"/>
              <w:rPr>
                <w:rFonts w:ascii="Arial" w:hAnsi="Arial" w:cs="Arial"/>
              </w:rPr>
            </w:pPr>
            <w:r>
              <w:rPr>
                <w:rFonts w:ascii="Arial" w:hAnsi="Arial" w:cs="Arial"/>
              </w:rPr>
              <w:t>Agree</w:t>
            </w:r>
          </w:p>
          <w:p w:rsidR="003405EA" w:rsidRDefault="00166B18">
            <w:pPr>
              <w:spacing w:before="60" w:after="120"/>
              <w:jc w:val="center"/>
              <w:rPr>
                <w:rFonts w:ascii="Arial" w:hAnsi="Arial" w:cs="Arial"/>
                <w:b/>
              </w:rPr>
            </w:pPr>
            <w:sdt>
              <w:sdtPr>
                <w:rPr>
                  <w:rFonts w:ascii="Arial" w:hAnsi="Arial" w:cs="Arial"/>
                </w:rPr>
                <w:id w:val="535931223"/>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rPr>
            </w:pPr>
            <w:r>
              <w:rPr>
                <w:rFonts w:ascii="Arial" w:hAnsi="Arial" w:cs="Arial"/>
              </w:rPr>
              <w:t>Tend to agree</w:t>
            </w:r>
          </w:p>
          <w:p w:rsidR="003405EA" w:rsidRDefault="00166B18">
            <w:pPr>
              <w:spacing w:before="60" w:after="120"/>
              <w:jc w:val="center"/>
              <w:rPr>
                <w:rFonts w:ascii="Arial" w:hAnsi="Arial" w:cs="Arial"/>
                <w:b/>
              </w:rPr>
            </w:pPr>
            <w:sdt>
              <w:sdtPr>
                <w:rPr>
                  <w:rFonts w:ascii="Arial" w:hAnsi="Arial" w:cs="Arial"/>
                </w:rPr>
                <w:id w:val="-495728946"/>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2164" w:type="dxa"/>
            <w:tcBorders>
              <w:top w:val="single" w:sz="4" w:space="0" w:color="auto"/>
              <w:left w:val="single" w:sz="4" w:space="0" w:color="auto"/>
              <w:bottom w:val="single" w:sz="4" w:space="0" w:color="auto"/>
              <w:right w:val="single" w:sz="4" w:space="0" w:color="auto"/>
            </w:tcBorders>
            <w:hideMark/>
          </w:tcPr>
          <w:p w:rsidR="003405EA" w:rsidRDefault="003405EA">
            <w:pPr>
              <w:jc w:val="center"/>
              <w:rPr>
                <w:rFonts w:ascii="Arial" w:hAnsi="Arial" w:cs="Arial"/>
              </w:rPr>
            </w:pPr>
            <w:r>
              <w:rPr>
                <w:rFonts w:ascii="Arial" w:hAnsi="Arial" w:cs="Arial"/>
              </w:rPr>
              <w:t>Tend to disagree</w:t>
            </w:r>
          </w:p>
          <w:p w:rsidR="003405EA" w:rsidRDefault="00166B18">
            <w:pPr>
              <w:spacing w:before="60" w:after="120"/>
              <w:jc w:val="center"/>
              <w:rPr>
                <w:rFonts w:ascii="Arial" w:hAnsi="Arial" w:cs="Arial"/>
                <w:b/>
              </w:rPr>
            </w:pPr>
            <w:sdt>
              <w:sdtPr>
                <w:rPr>
                  <w:rFonts w:ascii="Arial" w:hAnsi="Arial" w:cs="Arial"/>
                </w:rPr>
                <w:id w:val="688104986"/>
                <w14:checkbox>
                  <w14:checked w14:val="0"/>
                  <w14:checkedState w14:val="2612" w14:font="MS Gothic"/>
                  <w14:uncheckedState w14:val="2610" w14:font="MS Gothic"/>
                </w14:checkbox>
              </w:sdtPr>
              <w:sdtEndPr/>
              <w:sdtContent>
                <w:r w:rsidR="003405EA">
                  <w:rPr>
                    <w:rFonts w:ascii="Meiryo" w:eastAsia="Meiryo" w:hAnsi="Meiryo" w:cs="Meiryo" w:hint="eastAsia"/>
                  </w:rPr>
                  <w:t>☐</w:t>
                </w:r>
              </w:sdtContent>
            </w:sdt>
          </w:p>
        </w:tc>
        <w:tc>
          <w:tcPr>
            <w:tcW w:w="1863" w:type="dxa"/>
            <w:tcBorders>
              <w:top w:val="single" w:sz="4" w:space="0" w:color="auto"/>
              <w:left w:val="single" w:sz="4" w:space="0" w:color="auto"/>
              <w:bottom w:val="single" w:sz="4" w:space="0" w:color="auto"/>
              <w:right w:val="single" w:sz="4" w:space="0" w:color="auto"/>
            </w:tcBorders>
            <w:vAlign w:val="center"/>
            <w:hideMark/>
          </w:tcPr>
          <w:p w:rsidR="003405EA" w:rsidRDefault="003405EA">
            <w:pPr>
              <w:ind w:left="-108"/>
              <w:jc w:val="center"/>
              <w:rPr>
                <w:rFonts w:eastAsia="Meiryo"/>
              </w:rPr>
            </w:pPr>
            <w:r>
              <w:rPr>
                <w:rFonts w:ascii="Arial" w:hAnsi="Arial" w:cs="Arial"/>
              </w:rPr>
              <w:t>Disagree</w:t>
            </w:r>
          </w:p>
          <w:p w:rsidR="003405EA" w:rsidRDefault="00166B18">
            <w:pPr>
              <w:spacing w:before="60" w:after="120"/>
              <w:jc w:val="center"/>
              <w:rPr>
                <w:rFonts w:ascii="Arial" w:hAnsi="Arial" w:cs="Arial"/>
                <w:b/>
              </w:rPr>
            </w:pPr>
            <w:sdt>
              <w:sdtPr>
                <w:rPr>
                  <w:rFonts w:ascii="Meiryo" w:eastAsia="Meiryo" w:hAnsi="Meiryo" w:cs="Meiryo" w:hint="eastAsia"/>
                  <w:b/>
                </w:rPr>
                <w:id w:val="-1961952684"/>
                <w14:checkbox>
                  <w14:checked w14:val="0"/>
                  <w14:checkedState w14:val="2612" w14:font="MS Gothic"/>
                  <w14:uncheckedState w14:val="2610" w14:font="MS Gothic"/>
                </w14:checkbox>
              </w:sdtPr>
              <w:sdtEndPr/>
              <w:sdtContent>
                <w:r w:rsidR="003405EA">
                  <w:rPr>
                    <w:rFonts w:ascii="Meiryo" w:eastAsia="Meiryo" w:hAnsi="Meiryo" w:cs="Meiryo" w:hint="eastAsia"/>
                    <w:b/>
                  </w:rPr>
                  <w:t>☐</w:t>
                </w:r>
              </w:sdtContent>
            </w:sdt>
          </w:p>
        </w:tc>
      </w:tr>
      <w:tr w:rsidR="003405EA" w:rsidTr="003405EA">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rsidR="003405EA" w:rsidRDefault="003405EA">
            <w:pPr>
              <w:rPr>
                <w:rFonts w:ascii="Arial" w:hAnsi="Arial" w:cs="Arial"/>
                <w:b/>
              </w:rPr>
            </w:pPr>
            <w:r>
              <w:rPr>
                <w:rFonts w:ascii="Arial" w:hAnsi="Arial" w:cs="Arial"/>
              </w:rPr>
              <w:t>Please explain:</w:t>
            </w: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p w:rsidR="003405EA" w:rsidRDefault="003405EA">
            <w:pPr>
              <w:rPr>
                <w:rFonts w:ascii="Arial" w:hAnsi="Arial" w:cs="Arial"/>
              </w:rPr>
            </w:pPr>
          </w:p>
        </w:tc>
      </w:tr>
    </w:tbl>
    <w:p w:rsidR="003405EA" w:rsidRDefault="003405EA" w:rsidP="003405EA"/>
    <w:p w:rsidR="003405EA" w:rsidRDefault="003405EA" w:rsidP="003405EA"/>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0"/>
      </w:tblGrid>
      <w:tr w:rsidR="003405EA" w:rsidTr="003405EA">
        <w:trPr>
          <w:trHeight w:val="675"/>
          <w:jc w:val="center"/>
        </w:trPr>
        <w:tc>
          <w:tcPr>
            <w:tcW w:w="8912" w:type="dxa"/>
            <w:tcBorders>
              <w:top w:val="single" w:sz="4" w:space="0" w:color="auto"/>
              <w:left w:val="single" w:sz="4" w:space="0" w:color="auto"/>
              <w:bottom w:val="single" w:sz="4" w:space="0" w:color="auto"/>
              <w:right w:val="single" w:sz="4" w:space="0" w:color="auto"/>
            </w:tcBorders>
            <w:vAlign w:val="center"/>
            <w:hideMark/>
          </w:tcPr>
          <w:p w:rsidR="003405EA" w:rsidRDefault="003405EA">
            <w:pPr>
              <w:jc w:val="center"/>
              <w:rPr>
                <w:rFonts w:ascii="Arial" w:hAnsi="Arial" w:cs="Arial"/>
                <w:b/>
                <w:highlight w:val="yellow"/>
              </w:rPr>
            </w:pPr>
            <w:r>
              <w:br w:type="page"/>
            </w:r>
            <w:r>
              <w:rPr>
                <w:rFonts w:ascii="Arial" w:hAnsi="Arial" w:cs="Arial"/>
                <w:b/>
              </w:rPr>
              <w:t>Other Questions</w:t>
            </w:r>
          </w:p>
        </w:tc>
      </w:tr>
      <w:tr w:rsidR="003405EA" w:rsidTr="003405EA">
        <w:trPr>
          <w:trHeight w:val="5549"/>
          <w:jc w:val="center"/>
        </w:trPr>
        <w:tc>
          <w:tcPr>
            <w:tcW w:w="8912" w:type="dxa"/>
            <w:tcBorders>
              <w:top w:val="single" w:sz="4" w:space="0" w:color="auto"/>
              <w:left w:val="single" w:sz="4" w:space="0" w:color="auto"/>
              <w:bottom w:val="single" w:sz="4" w:space="0" w:color="auto"/>
              <w:right w:val="single" w:sz="4" w:space="0" w:color="auto"/>
            </w:tcBorders>
          </w:tcPr>
          <w:p w:rsidR="003405EA" w:rsidRDefault="003405EA">
            <w:pPr>
              <w:autoSpaceDE w:val="0"/>
              <w:autoSpaceDN w:val="0"/>
              <w:adjustRightInd w:val="0"/>
              <w:spacing w:before="60"/>
              <w:rPr>
                <w:rFonts w:ascii="Arial" w:hAnsi="Arial" w:cs="Arial"/>
              </w:rPr>
            </w:pPr>
            <w:r>
              <w:rPr>
                <w:rFonts w:ascii="Arial" w:hAnsi="Arial" w:cs="Arial"/>
              </w:rPr>
              <w:t>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w:t>
            </w:r>
          </w:p>
          <w:p w:rsidR="003405EA" w:rsidRDefault="003405EA">
            <w:pPr>
              <w:autoSpaceDE w:val="0"/>
              <w:autoSpaceDN w:val="0"/>
              <w:adjustRightInd w:val="0"/>
              <w:rPr>
                <w:rFonts w:ascii="Arial" w:hAnsi="Arial" w:cs="Arial"/>
              </w:rPr>
            </w:pPr>
          </w:p>
          <w:p w:rsidR="003405EA" w:rsidRDefault="003405EA">
            <w:pPr>
              <w:tabs>
                <w:tab w:val="left" w:pos="479"/>
              </w:tabs>
              <w:autoSpaceDE w:val="0"/>
              <w:autoSpaceDN w:val="0"/>
              <w:adjustRightInd w:val="0"/>
              <w:rPr>
                <w:rFonts w:ascii="Arial" w:hAnsi="Arial" w:cs="Arial"/>
                <w:b/>
              </w:rPr>
            </w:pPr>
            <w:r>
              <w:rPr>
                <w:rFonts w:ascii="Arial" w:hAnsi="Arial" w:cs="Arial"/>
                <w:b/>
              </w:rPr>
              <w:t>Q.14.</w:t>
            </w:r>
            <w:r>
              <w:rPr>
                <w:rFonts w:ascii="Arial" w:hAnsi="Arial" w:cs="Arial"/>
                <w:b/>
              </w:rPr>
              <w:tab/>
              <w:t xml:space="preserve">Do you think that the proposals in this consultation will have any </w:t>
            </w:r>
            <w:r>
              <w:rPr>
                <w:rFonts w:ascii="Arial" w:hAnsi="Arial" w:cs="Arial"/>
                <w:b/>
              </w:rPr>
              <w:tab/>
              <w:t xml:space="preserve">positive impacts on groups with protected characteristics? If so, which </w:t>
            </w:r>
            <w:r>
              <w:rPr>
                <w:rFonts w:ascii="Arial" w:hAnsi="Arial" w:cs="Arial"/>
                <w:b/>
              </w:rPr>
              <w:tab/>
              <w:t>and why/why not?</w:t>
            </w:r>
          </w:p>
          <w:p w:rsidR="003405EA" w:rsidRDefault="003405EA">
            <w:pPr>
              <w:tabs>
                <w:tab w:val="left" w:pos="479"/>
              </w:tabs>
              <w:autoSpaceDE w:val="0"/>
              <w:autoSpaceDN w:val="0"/>
              <w:adjustRightInd w:val="0"/>
              <w:rPr>
                <w:rFonts w:ascii="Arial" w:hAnsi="Arial" w:cs="Arial"/>
                <w:b/>
              </w:rPr>
            </w:pPr>
          </w:p>
          <w:p w:rsidR="003405EA" w:rsidRDefault="003405EA">
            <w:pPr>
              <w:tabs>
                <w:tab w:val="left" w:pos="479"/>
              </w:tabs>
              <w:autoSpaceDE w:val="0"/>
              <w:autoSpaceDN w:val="0"/>
              <w:adjustRightInd w:val="0"/>
              <w:rPr>
                <w:rFonts w:ascii="Arial" w:hAnsi="Arial" w:cs="Arial"/>
                <w:b/>
              </w:rPr>
            </w:pPr>
          </w:p>
          <w:p w:rsidR="003405EA" w:rsidRDefault="003405EA">
            <w:pPr>
              <w:tabs>
                <w:tab w:val="left" w:pos="479"/>
              </w:tabs>
              <w:autoSpaceDE w:val="0"/>
              <w:autoSpaceDN w:val="0"/>
              <w:adjustRightInd w:val="0"/>
              <w:rPr>
                <w:rFonts w:ascii="Arial" w:hAnsi="Arial" w:cs="Arial"/>
                <w:b/>
              </w:rPr>
            </w:pPr>
          </w:p>
          <w:p w:rsidR="003405EA" w:rsidRDefault="003405EA">
            <w:pPr>
              <w:tabs>
                <w:tab w:val="left" w:pos="479"/>
              </w:tabs>
              <w:autoSpaceDE w:val="0"/>
              <w:autoSpaceDN w:val="0"/>
              <w:adjustRightInd w:val="0"/>
              <w:rPr>
                <w:rFonts w:ascii="Arial" w:hAnsi="Arial" w:cs="Arial"/>
                <w:b/>
              </w:rPr>
            </w:pPr>
          </w:p>
          <w:p w:rsidR="003405EA" w:rsidRDefault="003405EA">
            <w:pPr>
              <w:autoSpaceDE w:val="0"/>
              <w:autoSpaceDN w:val="0"/>
              <w:adjustRightInd w:val="0"/>
              <w:rPr>
                <w:rFonts w:ascii="Arial" w:hAnsi="Arial" w:cs="Arial"/>
                <w:b/>
              </w:rPr>
            </w:pPr>
          </w:p>
          <w:p w:rsidR="003405EA" w:rsidRDefault="003405EA">
            <w:pPr>
              <w:tabs>
                <w:tab w:val="left" w:pos="479"/>
              </w:tabs>
              <w:autoSpaceDE w:val="0"/>
              <w:autoSpaceDN w:val="0"/>
              <w:adjustRightInd w:val="0"/>
              <w:spacing w:before="60"/>
              <w:rPr>
                <w:rFonts w:ascii="Arial" w:hAnsi="Arial" w:cs="Arial"/>
                <w:b/>
              </w:rPr>
            </w:pPr>
            <w:r>
              <w:rPr>
                <w:rFonts w:ascii="Arial" w:hAnsi="Arial" w:cs="Arial"/>
                <w:b/>
              </w:rPr>
              <w:t>Q.15.</w:t>
            </w:r>
            <w:r>
              <w:rPr>
                <w:rFonts w:ascii="Arial" w:hAnsi="Arial" w:cs="Arial"/>
                <w:b/>
              </w:rPr>
              <w:tab/>
              <w:t xml:space="preserve">Do you think that the proposals in this consultation will have any </w:t>
            </w:r>
            <w:r>
              <w:rPr>
                <w:rFonts w:ascii="Arial" w:hAnsi="Arial" w:cs="Arial"/>
                <w:b/>
              </w:rPr>
              <w:tab/>
              <w:t xml:space="preserve">negative impacts on groups with protected characteristics? If so, which </w:t>
            </w:r>
            <w:r>
              <w:rPr>
                <w:rFonts w:ascii="Arial" w:hAnsi="Arial" w:cs="Arial"/>
                <w:b/>
              </w:rPr>
              <w:tab/>
              <w:t>and why/why not?</w:t>
            </w:r>
          </w:p>
          <w:p w:rsidR="003405EA" w:rsidRDefault="003405EA">
            <w:pPr>
              <w:autoSpaceDE w:val="0"/>
              <w:autoSpaceDN w:val="0"/>
              <w:adjustRightInd w:val="0"/>
              <w:spacing w:before="60"/>
              <w:rPr>
                <w:rFonts w:ascii="Arial" w:hAnsi="Arial" w:cs="Arial"/>
              </w:rPr>
            </w:pPr>
          </w:p>
          <w:p w:rsidR="003405EA" w:rsidRDefault="003405EA">
            <w:pPr>
              <w:autoSpaceDE w:val="0"/>
              <w:autoSpaceDN w:val="0"/>
              <w:adjustRightInd w:val="0"/>
              <w:spacing w:before="60"/>
              <w:rPr>
                <w:rFonts w:ascii="Arial" w:hAnsi="Arial" w:cs="Arial"/>
              </w:rPr>
            </w:pPr>
          </w:p>
          <w:p w:rsidR="003405EA" w:rsidRDefault="003405EA">
            <w:pPr>
              <w:autoSpaceDE w:val="0"/>
              <w:autoSpaceDN w:val="0"/>
              <w:adjustRightInd w:val="0"/>
              <w:spacing w:before="60"/>
              <w:rPr>
                <w:rFonts w:ascii="Arial" w:hAnsi="Arial" w:cs="Arial"/>
              </w:rPr>
            </w:pPr>
          </w:p>
          <w:p w:rsidR="003405EA" w:rsidRDefault="003405EA">
            <w:pPr>
              <w:autoSpaceDE w:val="0"/>
              <w:autoSpaceDN w:val="0"/>
              <w:adjustRightInd w:val="0"/>
              <w:spacing w:before="60"/>
              <w:rPr>
                <w:rFonts w:ascii="Arial" w:hAnsi="Arial" w:cs="Arial"/>
              </w:rPr>
            </w:pPr>
          </w:p>
        </w:tc>
      </w:tr>
      <w:tr w:rsidR="003405EA" w:rsidTr="003405EA">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05EA" w:rsidRDefault="003405EA">
            <w:pPr>
              <w:autoSpaceDE w:val="0"/>
              <w:autoSpaceDN w:val="0"/>
              <w:adjustRightInd w:val="0"/>
              <w:spacing w:before="60"/>
              <w:rPr>
                <w:rFonts w:ascii="Arial" w:hAnsi="Arial" w:cs="Arial"/>
              </w:rPr>
            </w:pPr>
          </w:p>
        </w:tc>
      </w:tr>
      <w:tr w:rsidR="003405EA" w:rsidTr="003405EA">
        <w:trPr>
          <w:trHeight w:val="424"/>
          <w:jc w:val="center"/>
        </w:trPr>
        <w:tc>
          <w:tcPr>
            <w:tcW w:w="8912" w:type="dxa"/>
            <w:tcBorders>
              <w:top w:val="single" w:sz="4" w:space="0" w:color="auto"/>
              <w:left w:val="single" w:sz="4" w:space="0" w:color="auto"/>
              <w:bottom w:val="single" w:sz="4" w:space="0" w:color="auto"/>
              <w:right w:val="single" w:sz="4" w:space="0" w:color="auto"/>
            </w:tcBorders>
            <w:shd w:val="clear" w:color="auto" w:fill="FFFFFF" w:themeFill="background1"/>
          </w:tcPr>
          <w:p w:rsidR="003405EA" w:rsidRDefault="003405EA">
            <w:pPr>
              <w:autoSpaceDE w:val="0"/>
              <w:autoSpaceDN w:val="0"/>
              <w:adjustRightInd w:val="0"/>
              <w:spacing w:before="60"/>
              <w:rPr>
                <w:rFonts w:ascii="Arial" w:hAnsi="Arial" w:cs="Arial"/>
                <w:b/>
              </w:rPr>
            </w:pPr>
            <w:r>
              <w:rPr>
                <w:rFonts w:ascii="Arial" w:hAnsi="Arial" w:cs="Arial"/>
                <w:b/>
              </w:rPr>
              <w:t xml:space="preserve">Q.16. We would like to know your views on the effects that these proposals would have on the Welsh language, specifically on </w:t>
            </w:r>
          </w:p>
          <w:p w:rsidR="003405EA" w:rsidRDefault="003405EA">
            <w:pPr>
              <w:rPr>
                <w:rFonts w:ascii="Arial" w:hAnsi="Arial" w:cs="Arial"/>
                <w:b/>
              </w:rPr>
            </w:pPr>
          </w:p>
          <w:p w:rsidR="003405EA" w:rsidRDefault="003405EA" w:rsidP="00D85538">
            <w:pPr>
              <w:pStyle w:val="ListParagraph"/>
              <w:widowControl w:val="0"/>
              <w:numPr>
                <w:ilvl w:val="0"/>
                <w:numId w:val="1"/>
              </w:numPr>
              <w:spacing w:after="120"/>
              <w:ind w:left="1043" w:hanging="567"/>
              <w:rPr>
                <w:rFonts w:ascii="Arial" w:hAnsi="Arial" w:cs="Arial"/>
                <w:b/>
              </w:rPr>
            </w:pPr>
            <w:r>
              <w:rPr>
                <w:rFonts w:ascii="Arial" w:hAnsi="Arial" w:cs="Arial"/>
                <w:b/>
              </w:rPr>
              <w:t>opportunities for people to use Welsh and</w:t>
            </w:r>
          </w:p>
          <w:p w:rsidR="003405EA" w:rsidRDefault="003405EA" w:rsidP="00D85538">
            <w:pPr>
              <w:pStyle w:val="ListParagraph"/>
              <w:widowControl w:val="0"/>
              <w:numPr>
                <w:ilvl w:val="0"/>
                <w:numId w:val="1"/>
              </w:numPr>
              <w:spacing w:after="120"/>
              <w:ind w:left="1043" w:hanging="567"/>
              <w:rPr>
                <w:rFonts w:ascii="Arial" w:hAnsi="Arial" w:cs="Arial"/>
              </w:rPr>
            </w:pPr>
            <w:r>
              <w:rPr>
                <w:rFonts w:ascii="Arial" w:hAnsi="Arial" w:cs="Arial"/>
                <w:b/>
              </w:rPr>
              <w:lastRenderedPageBreak/>
              <w:t>on treating the Welsh language no less favourably than English.</w:t>
            </w:r>
            <w:r>
              <w:rPr>
                <w:rFonts w:ascii="Arial" w:hAnsi="Arial" w:cs="Arial"/>
              </w:rPr>
              <w:t xml:space="preserve">  </w:t>
            </w:r>
          </w:p>
          <w:p w:rsidR="003405EA" w:rsidRDefault="003405EA">
            <w:pPr>
              <w:rPr>
                <w:rFonts w:ascii="Arial" w:hAnsi="Arial" w:cs="Arial"/>
              </w:rPr>
            </w:pPr>
          </w:p>
          <w:p w:rsidR="003405EA" w:rsidRDefault="003405EA">
            <w:pPr>
              <w:rPr>
                <w:rFonts w:ascii="Arial" w:hAnsi="Arial" w:cs="Arial"/>
              </w:rPr>
            </w:pPr>
          </w:p>
          <w:p w:rsidR="003405EA" w:rsidRDefault="003405EA">
            <w:pPr>
              <w:tabs>
                <w:tab w:val="left" w:pos="479"/>
              </w:tabs>
              <w:rPr>
                <w:rFonts w:ascii="Arial" w:hAnsi="Arial" w:cs="Arial"/>
                <w:b/>
              </w:rPr>
            </w:pPr>
            <w:r>
              <w:rPr>
                <w:rFonts w:ascii="Arial" w:hAnsi="Arial" w:cs="Arial"/>
                <w:b/>
              </w:rPr>
              <w:t xml:space="preserve">Q.17. </w:t>
            </w:r>
            <w:r>
              <w:rPr>
                <w:rFonts w:ascii="Arial" w:hAnsi="Arial" w:cs="Arial"/>
                <w:b/>
              </w:rPr>
              <w:tab/>
              <w:t xml:space="preserve">What effects do you think there would be?  How could we increase the positive effects, or mitigate the negative effects?  </w:t>
            </w:r>
          </w:p>
          <w:p w:rsidR="003405EA" w:rsidRDefault="003405EA">
            <w:pPr>
              <w:tabs>
                <w:tab w:val="left" w:pos="479"/>
              </w:tabs>
              <w:rPr>
                <w:rFonts w:ascii="Arial" w:hAnsi="Arial" w:cs="Arial"/>
                <w:b/>
              </w:rPr>
            </w:pPr>
          </w:p>
          <w:p w:rsidR="003405EA" w:rsidRDefault="003405EA">
            <w:pPr>
              <w:tabs>
                <w:tab w:val="left" w:pos="479"/>
              </w:tabs>
              <w:rPr>
                <w:rFonts w:ascii="Arial" w:hAnsi="Arial" w:cs="Arial"/>
                <w:b/>
                <w:sz w:val="22"/>
              </w:rPr>
            </w:pPr>
          </w:p>
          <w:p w:rsidR="003405EA" w:rsidRDefault="003405EA">
            <w:pPr>
              <w:tabs>
                <w:tab w:val="left" w:pos="479"/>
              </w:tabs>
              <w:rPr>
                <w:rFonts w:ascii="Arial" w:hAnsi="Arial" w:cs="Arial"/>
                <w:b/>
                <w:sz w:val="22"/>
              </w:rPr>
            </w:pPr>
          </w:p>
          <w:p w:rsidR="003405EA" w:rsidRDefault="003405EA">
            <w:pPr>
              <w:tabs>
                <w:tab w:val="left" w:pos="479"/>
              </w:tabs>
              <w:rPr>
                <w:rFonts w:ascii="Arial" w:hAnsi="Arial" w:cs="Arial"/>
                <w:b/>
              </w:rPr>
            </w:pPr>
            <w:r>
              <w:rPr>
                <w:rFonts w:ascii="Arial" w:hAnsi="Arial" w:cs="Arial"/>
                <w:b/>
              </w:rPr>
              <w:t>Q.18.</w:t>
            </w:r>
            <w:r>
              <w:rPr>
                <w:rFonts w:ascii="Arial" w:hAnsi="Arial" w:cs="Arial"/>
                <w:b/>
              </w:rPr>
              <w:tab/>
              <w:t xml:space="preserve">Please also explain how you believe the proposed policy could be </w:t>
            </w:r>
            <w:r>
              <w:rPr>
                <w:rFonts w:ascii="Arial" w:hAnsi="Arial" w:cs="Arial"/>
                <w:b/>
              </w:rPr>
              <w:tab/>
              <w:t>formulated or changed so as to have:</w:t>
            </w:r>
          </w:p>
          <w:p w:rsidR="003405EA" w:rsidRDefault="003405EA">
            <w:pPr>
              <w:rPr>
                <w:rFonts w:ascii="Arial" w:hAnsi="Arial" w:cs="Arial"/>
                <w:b/>
              </w:rPr>
            </w:pPr>
          </w:p>
          <w:p w:rsidR="003405EA" w:rsidRDefault="003405EA" w:rsidP="00D85538">
            <w:pPr>
              <w:pStyle w:val="ListParagraph"/>
              <w:widowControl w:val="0"/>
              <w:numPr>
                <w:ilvl w:val="0"/>
                <w:numId w:val="2"/>
              </w:numPr>
              <w:spacing w:after="120"/>
              <w:ind w:left="1043" w:hanging="567"/>
              <w:rPr>
                <w:rFonts w:ascii="Arial" w:hAnsi="Arial" w:cs="Arial"/>
                <w:b/>
              </w:rPr>
            </w:pPr>
            <w:r>
              <w:rPr>
                <w:rFonts w:ascii="Arial" w:hAnsi="Arial" w:cs="Arial"/>
                <w:b/>
              </w:rPr>
              <w:t xml:space="preserve">positive effects (or increased positive effects) on opportunities for people to use the Welsh language and on treating the Welsh language no less favourably than the English language, and </w:t>
            </w:r>
          </w:p>
          <w:p w:rsidR="003405EA" w:rsidRDefault="003405EA" w:rsidP="00D85538">
            <w:pPr>
              <w:pStyle w:val="ListParagraph"/>
              <w:widowControl w:val="0"/>
              <w:numPr>
                <w:ilvl w:val="0"/>
                <w:numId w:val="2"/>
              </w:numPr>
              <w:spacing w:after="120"/>
              <w:ind w:left="1043" w:hanging="567"/>
              <w:rPr>
                <w:rFonts w:ascii="Arial" w:hAnsi="Arial" w:cs="Arial"/>
                <w:b/>
              </w:rPr>
            </w:pPr>
            <w:r>
              <w:rPr>
                <w:rFonts w:ascii="Arial" w:hAnsi="Arial" w:cs="Arial"/>
                <w:b/>
              </w:rPr>
              <w:t xml:space="preserve">no adverse effects on opportunities for people to use the Welsh language and on treating the Welsh language no less favourably than the English language.  </w:t>
            </w:r>
          </w:p>
          <w:p w:rsidR="003405EA" w:rsidRDefault="003405EA">
            <w:pPr>
              <w:autoSpaceDE w:val="0"/>
              <w:autoSpaceDN w:val="0"/>
              <w:adjustRightInd w:val="0"/>
              <w:spacing w:before="60"/>
              <w:rPr>
                <w:rFonts w:ascii="Arial" w:hAnsi="Arial" w:cs="Arial"/>
              </w:rPr>
            </w:pPr>
          </w:p>
          <w:p w:rsidR="003405EA" w:rsidRDefault="003405EA">
            <w:pPr>
              <w:autoSpaceDE w:val="0"/>
              <w:autoSpaceDN w:val="0"/>
              <w:adjustRightInd w:val="0"/>
              <w:spacing w:before="60"/>
              <w:rPr>
                <w:rFonts w:ascii="Arial" w:hAnsi="Arial" w:cs="Arial"/>
              </w:rPr>
            </w:pPr>
          </w:p>
        </w:tc>
      </w:tr>
      <w:tr w:rsidR="003405EA" w:rsidTr="003405EA">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405EA" w:rsidRDefault="003405EA">
            <w:pPr>
              <w:rPr>
                <w:rFonts w:ascii="Arial" w:hAnsi="Arial" w:cs="Arial"/>
                <w:b/>
                <w:color w:val="000000"/>
                <w:highlight w:val="yellow"/>
              </w:rPr>
            </w:pPr>
            <w:r>
              <w:lastRenderedPageBreak/>
              <w:br w:type="page"/>
            </w:r>
          </w:p>
        </w:tc>
      </w:tr>
      <w:tr w:rsidR="003405EA" w:rsidTr="003405EA">
        <w:trPr>
          <w:jc w:val="center"/>
        </w:trPr>
        <w:tc>
          <w:tcPr>
            <w:tcW w:w="8912" w:type="dxa"/>
            <w:tcBorders>
              <w:top w:val="single" w:sz="4" w:space="0" w:color="auto"/>
              <w:left w:val="single" w:sz="4" w:space="0" w:color="auto"/>
              <w:bottom w:val="single" w:sz="4" w:space="0" w:color="auto"/>
              <w:right w:val="single" w:sz="4" w:space="0" w:color="auto"/>
            </w:tcBorders>
          </w:tcPr>
          <w:p w:rsidR="003405EA" w:rsidRDefault="003405EA">
            <w:pPr>
              <w:spacing w:before="60"/>
              <w:rPr>
                <w:rFonts w:ascii="Arial" w:hAnsi="Arial" w:cs="Arial"/>
                <w:b/>
                <w:color w:val="000000"/>
              </w:rPr>
            </w:pPr>
            <w:r>
              <w:rPr>
                <w:rFonts w:ascii="Arial" w:hAnsi="Arial" w:cs="Arial"/>
                <w:b/>
                <w:color w:val="000000"/>
              </w:rPr>
              <w:t>We have asked a number of specific questions. If you have any related issues which we have not specifically addressed, please use this space to tell us about them.</w:t>
            </w:r>
          </w:p>
          <w:p w:rsidR="003405EA" w:rsidRDefault="003405EA">
            <w:pPr>
              <w:spacing w:before="60"/>
              <w:rPr>
                <w:rFonts w:ascii="Arial" w:hAnsi="Arial" w:cs="Arial"/>
                <w:b/>
                <w:color w:val="000000"/>
              </w:rPr>
            </w:pPr>
          </w:p>
          <w:p w:rsidR="003405EA" w:rsidRDefault="003405EA">
            <w:pPr>
              <w:spacing w:before="60"/>
              <w:rPr>
                <w:rFonts w:ascii="Arial" w:hAnsi="Arial" w:cs="Arial"/>
                <w:b/>
                <w:color w:val="000000"/>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p w:rsidR="003405EA" w:rsidRDefault="003405EA">
            <w:pPr>
              <w:rPr>
                <w:rFonts w:ascii="Arial" w:hAnsi="Arial" w:cs="Arial"/>
                <w:b/>
                <w:color w:val="000000"/>
                <w:highlight w:val="yellow"/>
              </w:rPr>
            </w:pPr>
          </w:p>
        </w:tc>
      </w:tr>
    </w:tbl>
    <w:p w:rsidR="003405EA" w:rsidRDefault="003405EA" w:rsidP="003405EA">
      <w:pPr>
        <w:rPr>
          <w:rFonts w:ascii="Arial" w:hAnsi="Arial" w:cs="Arial"/>
          <w:color w:val="000000"/>
          <w:highlight w:val="yellow"/>
        </w:rPr>
      </w:pPr>
    </w:p>
    <w:p w:rsidR="003405EA" w:rsidRDefault="003405EA" w:rsidP="003405EA">
      <w:pPr>
        <w:pBdr>
          <w:bottom w:val="single" w:sz="4" w:space="1" w:color="auto"/>
        </w:pBdr>
        <w:rPr>
          <w:rFonts w:ascii="Arial" w:hAnsi="Arial" w:cs="Arial"/>
          <w:b/>
        </w:rPr>
      </w:pPr>
    </w:p>
    <w:p w:rsidR="004F691B" w:rsidRDefault="004F691B"/>
    <w:sectPr w:rsidR="004F6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2C3"/>
    <w:multiLevelType w:val="hybridMultilevel"/>
    <w:tmpl w:val="72602DA2"/>
    <w:lvl w:ilvl="0" w:tplc="F09E6FD4">
      <w:start w:val="1"/>
      <w:numFmt w:val="lowerRoman"/>
      <w:lvlText w:val="%1)"/>
      <w:lvlJc w:val="left"/>
      <w:pPr>
        <w:ind w:left="1057" w:hanging="720"/>
      </w:pPr>
      <w:rPr>
        <w:rFonts w:cs="Times New Roman"/>
        <w:b/>
      </w:rPr>
    </w:lvl>
    <w:lvl w:ilvl="1" w:tplc="04520019">
      <w:start w:val="1"/>
      <w:numFmt w:val="lowerLetter"/>
      <w:lvlText w:val="%2."/>
      <w:lvlJc w:val="left"/>
      <w:pPr>
        <w:ind w:left="1417" w:hanging="360"/>
      </w:pPr>
      <w:rPr>
        <w:rFonts w:cs="Times New Roman"/>
      </w:rPr>
    </w:lvl>
    <w:lvl w:ilvl="2" w:tplc="0452001B">
      <w:start w:val="1"/>
      <w:numFmt w:val="lowerRoman"/>
      <w:lvlText w:val="%3."/>
      <w:lvlJc w:val="right"/>
      <w:pPr>
        <w:ind w:left="2137" w:hanging="180"/>
      </w:pPr>
      <w:rPr>
        <w:rFonts w:cs="Times New Roman"/>
      </w:rPr>
    </w:lvl>
    <w:lvl w:ilvl="3" w:tplc="0452000F">
      <w:start w:val="1"/>
      <w:numFmt w:val="decimal"/>
      <w:lvlText w:val="%4."/>
      <w:lvlJc w:val="left"/>
      <w:pPr>
        <w:ind w:left="2857" w:hanging="360"/>
      </w:pPr>
      <w:rPr>
        <w:rFonts w:cs="Times New Roman"/>
      </w:rPr>
    </w:lvl>
    <w:lvl w:ilvl="4" w:tplc="04520019">
      <w:start w:val="1"/>
      <w:numFmt w:val="lowerLetter"/>
      <w:lvlText w:val="%5."/>
      <w:lvlJc w:val="left"/>
      <w:pPr>
        <w:ind w:left="3577" w:hanging="360"/>
      </w:pPr>
      <w:rPr>
        <w:rFonts w:cs="Times New Roman"/>
      </w:rPr>
    </w:lvl>
    <w:lvl w:ilvl="5" w:tplc="0452001B">
      <w:start w:val="1"/>
      <w:numFmt w:val="lowerRoman"/>
      <w:lvlText w:val="%6."/>
      <w:lvlJc w:val="right"/>
      <w:pPr>
        <w:ind w:left="4297" w:hanging="180"/>
      </w:pPr>
      <w:rPr>
        <w:rFonts w:cs="Times New Roman"/>
      </w:rPr>
    </w:lvl>
    <w:lvl w:ilvl="6" w:tplc="0452000F">
      <w:start w:val="1"/>
      <w:numFmt w:val="decimal"/>
      <w:lvlText w:val="%7."/>
      <w:lvlJc w:val="left"/>
      <w:pPr>
        <w:ind w:left="5017" w:hanging="360"/>
      </w:pPr>
      <w:rPr>
        <w:rFonts w:cs="Times New Roman"/>
      </w:rPr>
    </w:lvl>
    <w:lvl w:ilvl="7" w:tplc="04520019">
      <w:start w:val="1"/>
      <w:numFmt w:val="lowerLetter"/>
      <w:lvlText w:val="%8."/>
      <w:lvlJc w:val="left"/>
      <w:pPr>
        <w:ind w:left="5737" w:hanging="360"/>
      </w:pPr>
      <w:rPr>
        <w:rFonts w:cs="Times New Roman"/>
      </w:rPr>
    </w:lvl>
    <w:lvl w:ilvl="8" w:tplc="0452001B">
      <w:start w:val="1"/>
      <w:numFmt w:val="lowerRoman"/>
      <w:lvlText w:val="%9."/>
      <w:lvlJc w:val="right"/>
      <w:pPr>
        <w:ind w:left="6457" w:hanging="180"/>
      </w:pPr>
      <w:rPr>
        <w:rFonts w:cs="Times New Roman"/>
      </w:rPr>
    </w:lvl>
  </w:abstractNum>
  <w:abstractNum w:abstractNumId="1">
    <w:nsid w:val="7E1A0FFF"/>
    <w:multiLevelType w:val="hybridMultilevel"/>
    <w:tmpl w:val="64CEA2C4"/>
    <w:lvl w:ilvl="0" w:tplc="F1F4A040">
      <w:start w:val="1"/>
      <w:numFmt w:val="lowerRoman"/>
      <w:lvlText w:val="%1)"/>
      <w:lvlJc w:val="left"/>
      <w:pPr>
        <w:ind w:left="1754" w:hanging="720"/>
      </w:pPr>
      <w:rPr>
        <w:rFonts w:cs="Times New Roman"/>
      </w:rPr>
    </w:lvl>
    <w:lvl w:ilvl="1" w:tplc="04520019">
      <w:start w:val="1"/>
      <w:numFmt w:val="lowerLetter"/>
      <w:lvlText w:val="%2."/>
      <w:lvlJc w:val="left"/>
      <w:pPr>
        <w:ind w:left="2114" w:hanging="360"/>
      </w:pPr>
      <w:rPr>
        <w:rFonts w:cs="Times New Roman"/>
      </w:rPr>
    </w:lvl>
    <w:lvl w:ilvl="2" w:tplc="0452001B">
      <w:start w:val="1"/>
      <w:numFmt w:val="lowerRoman"/>
      <w:lvlText w:val="%3."/>
      <w:lvlJc w:val="right"/>
      <w:pPr>
        <w:ind w:left="2834" w:hanging="180"/>
      </w:pPr>
      <w:rPr>
        <w:rFonts w:cs="Times New Roman"/>
      </w:rPr>
    </w:lvl>
    <w:lvl w:ilvl="3" w:tplc="0452000F">
      <w:start w:val="1"/>
      <w:numFmt w:val="decimal"/>
      <w:lvlText w:val="%4."/>
      <w:lvlJc w:val="left"/>
      <w:pPr>
        <w:ind w:left="3554" w:hanging="360"/>
      </w:pPr>
      <w:rPr>
        <w:rFonts w:cs="Times New Roman"/>
      </w:rPr>
    </w:lvl>
    <w:lvl w:ilvl="4" w:tplc="04520019">
      <w:start w:val="1"/>
      <w:numFmt w:val="lowerLetter"/>
      <w:lvlText w:val="%5."/>
      <w:lvlJc w:val="left"/>
      <w:pPr>
        <w:ind w:left="4274" w:hanging="360"/>
      </w:pPr>
      <w:rPr>
        <w:rFonts w:cs="Times New Roman"/>
      </w:rPr>
    </w:lvl>
    <w:lvl w:ilvl="5" w:tplc="0452001B">
      <w:start w:val="1"/>
      <w:numFmt w:val="lowerRoman"/>
      <w:lvlText w:val="%6."/>
      <w:lvlJc w:val="right"/>
      <w:pPr>
        <w:ind w:left="4994" w:hanging="180"/>
      </w:pPr>
      <w:rPr>
        <w:rFonts w:cs="Times New Roman"/>
      </w:rPr>
    </w:lvl>
    <w:lvl w:ilvl="6" w:tplc="0452000F">
      <w:start w:val="1"/>
      <w:numFmt w:val="decimal"/>
      <w:lvlText w:val="%7."/>
      <w:lvlJc w:val="left"/>
      <w:pPr>
        <w:ind w:left="5714" w:hanging="360"/>
      </w:pPr>
      <w:rPr>
        <w:rFonts w:cs="Times New Roman"/>
      </w:rPr>
    </w:lvl>
    <w:lvl w:ilvl="7" w:tplc="04520019">
      <w:start w:val="1"/>
      <w:numFmt w:val="lowerLetter"/>
      <w:lvlText w:val="%8."/>
      <w:lvlJc w:val="left"/>
      <w:pPr>
        <w:ind w:left="6434" w:hanging="360"/>
      </w:pPr>
      <w:rPr>
        <w:rFonts w:cs="Times New Roman"/>
      </w:rPr>
    </w:lvl>
    <w:lvl w:ilvl="8" w:tplc="0452001B">
      <w:start w:val="1"/>
      <w:numFmt w:val="lowerRoman"/>
      <w:lvlText w:val="%9."/>
      <w:lvlJc w:val="right"/>
      <w:pPr>
        <w:ind w:left="71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EA"/>
    <w:rsid w:val="00166B18"/>
    <w:rsid w:val="003405EA"/>
    <w:rsid w:val="004F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405EA"/>
    <w:rPr>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3405EA"/>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405EA"/>
    <w:rPr>
      <w:rFonts w:ascii="Tahoma" w:hAnsi="Tahoma" w:cs="Tahoma"/>
      <w:sz w:val="16"/>
      <w:szCs w:val="16"/>
    </w:rPr>
  </w:style>
  <w:style w:type="character" w:customStyle="1" w:styleId="BalloonTextChar">
    <w:name w:val="Balloon Text Char"/>
    <w:basedOn w:val="DefaultParagraphFont"/>
    <w:link w:val="BalloonText"/>
    <w:uiPriority w:val="99"/>
    <w:semiHidden/>
    <w:rsid w:val="003405E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405EA"/>
    <w:rPr>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3405EA"/>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405EA"/>
    <w:rPr>
      <w:rFonts w:ascii="Tahoma" w:hAnsi="Tahoma" w:cs="Tahoma"/>
      <w:sz w:val="16"/>
      <w:szCs w:val="16"/>
    </w:rPr>
  </w:style>
  <w:style w:type="character" w:customStyle="1" w:styleId="BalloonTextChar">
    <w:name w:val="Balloon Text Char"/>
    <w:basedOn w:val="DefaultParagraphFont"/>
    <w:link w:val="BalloonText"/>
    <w:uiPriority w:val="99"/>
    <w:semiHidden/>
    <w:rsid w:val="003405E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A26953035</value>
    </field>
    <field name="Objective-Title">
      <value order="0">Domiciliary care workers - Consultation questionnaire - Eng - 24-07-2019</value>
    </field>
    <field name="Objective-Description">
      <value order="0"/>
    </field>
    <field name="Objective-CreationStamp">
      <value order="0">2019-07-23T08:53:08Z</value>
    </field>
    <field name="Objective-IsApproved">
      <value order="0">false</value>
    </field>
    <field name="Objective-IsPublished">
      <value order="0">true</value>
    </field>
    <field name="Objective-DatePublished">
      <value order="0">2019-07-23T08:53:29Z</value>
    </field>
    <field name="Objective-ModificationStamp">
      <value order="0">2019-07-23T08:53:29Z</value>
    </field>
    <field name="Objective-Owner">
      <value order="0">Brandon, Rob (HSS - SS&amp;I - Directorate)</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- 2017-2020:RISCA Regulation - Mandatory Registration of Domiciliary Care Workers 2020</value>
    </field>
    <field name="Objective-Parent">
      <value order="0">RISCA Regulation - Mandatory Registration of Domiciliary Care Workers 2020</value>
    </field>
    <field name="Objective-State">
      <value order="0">Published</value>
    </field>
    <field name="Objective-VersionId">
      <value order="0">vA53601580</value>
    </field>
    <field name="Objective-Version">
      <value order="0">1.0</value>
    </field>
    <field name="Objective-VersionNumber">
      <value order="0">2</value>
    </field>
    <field name="Objective-VersionComment">
      <value order="0">Version 2</value>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E721A044</Template>
  <TotalTime>1</TotalTime>
  <Pages>8</Pages>
  <Words>1182</Words>
  <Characters>6739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Rob</dc:creator>
  <cp:lastModifiedBy>Fellows, Carl (Admin)</cp:lastModifiedBy>
  <cp:revision>2</cp:revision>
  <dcterms:created xsi:type="dcterms:W3CDTF">2019-07-23T12:05:00Z</dcterms:created>
  <dcterms:modified xsi:type="dcterms:W3CDTF">2019-07-23T12:05:00Z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A26953035</vt:lpwstr>
  </property>
  <property fmtid="{D5CDD505-2E9C-101B-9397-08002B2CF9AE}" pid="4" name="Objective-Title">
    <vt:lpwstr>Domiciliary care workers - Consultation questionnaire - Eng - 24-07-2019</vt:lpwstr>
  </property>
  <property fmtid="{D5CDD505-2E9C-101B-9397-08002B2CF9AE}" pid="5" name="Objective-Description">
    <vt:lpwstr/>
  </property>
  <property fmtid="{D5CDD505-2E9C-101B-9397-08002B2CF9AE}" pid="6" name="Objective-CreationStamp">
    <vt:filetime>2019-07-23T08:53:13Z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2019-07-23T08:53:29Z</vt:filetime>
  </property>
  <property fmtid="{D5CDD505-2E9C-101B-9397-08002B2CF9AE}" pid="10" name="Objective-ModificationStamp">
    <vt:filetime>2019-07-23T08:53:29Z</vt:filetime>
  </property>
  <property fmtid="{D5CDD505-2E9C-101B-9397-08002B2CF9AE}" pid="11" name="Objective-Owner">
    <vt:lpwstr>Brandon, Rob (HSS - SS&amp;I - Directorate)</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vt:lpwstr>
  </property>
  <property fmtid="{D5CDD505-2E9C-101B-9397-08002B2CF9AE}" pid="13" name="Objective-Parent">
    <vt:lpwstr>RISCA Regulation - Mandatory Registration of Domiciliary Care Workers 2020</vt:lpwstr>
  </property>
  <property fmtid="{D5CDD505-2E9C-101B-9397-08002B2CF9AE}" pid="14" name="Objective-State">
    <vt:lpwstr>Published</vt:lpwstr>
  </property>
  <property fmtid="{D5CDD505-2E9C-101B-9397-08002B2CF9AE}" pid="15" name="Objective-VersionId">
    <vt:lpwstr>vA53601580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